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7F7C2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bookmarkStart w:id="0" w:name="_GoBack"/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41: </w:t>
      </w:r>
      <w:hyperlink r:id="rId4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Reimbursement for Prolonged Records Review</w:t>
        </w:r>
      </w:hyperlink>
    </w:p>
    <w:p w14:paraId="12388B38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42: </w:t>
      </w:r>
      <w:hyperlink r:id="rId5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Less Clicks for Medication Prescriptions in Ambulatory</w:t>
        </w:r>
      </w:hyperlink>
    </w:p>
    <w:p w14:paraId="1E41B099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43: </w:t>
      </w:r>
      <w:hyperlink r:id="rId6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If You Really Knew Me...</w:t>
        </w:r>
      </w:hyperlink>
    </w:p>
    <w:p w14:paraId="59209B79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>Issue 44:</w:t>
      </w:r>
      <w:hyperlink r:id="rId7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 Chancellor's Funds for Faculty Travel, Enrichment, Community Service</w:t>
        </w:r>
      </w:hyperlink>
    </w:p>
    <w:p w14:paraId="52F94C25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45: </w:t>
      </w:r>
      <w:hyperlink r:id="rId8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The Office of the </w:t>
        </w:r>
        <w:proofErr w:type="spellStart"/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Ombuds</w:t>
        </w:r>
        <w:proofErr w:type="spellEnd"/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 at UCSF</w:t>
        </w:r>
      </w:hyperlink>
    </w:p>
    <w:p w14:paraId="40EB0374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46: </w:t>
      </w:r>
      <w:hyperlink r:id="rId9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Simplifying Medication Reconciliation in Ambulatory</w:t>
        </w:r>
      </w:hyperlink>
    </w:p>
    <w:p w14:paraId="12F05515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47: </w:t>
      </w:r>
      <w:hyperlink r:id="rId10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Locating Advanced Care Planning Conversations Just Got Easier</w:t>
        </w:r>
      </w:hyperlink>
    </w:p>
    <w:p w14:paraId="28FCB53C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48: </w:t>
      </w:r>
      <w:hyperlink r:id="rId11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UCSF Health Increases Funds Flow Payments </w:t>
        </w:r>
        <w:proofErr w:type="gramStart"/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For</w:t>
        </w:r>
        <w:proofErr w:type="gramEnd"/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 Physician Work</w:t>
        </w:r>
      </w:hyperlink>
    </w:p>
    <w:p w14:paraId="01C197E4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49: </w:t>
      </w:r>
      <w:hyperlink r:id="rId12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UCSF Celebrates International Women's Day March 8th, 2019</w:t>
        </w:r>
      </w:hyperlink>
    </w:p>
    <w:p w14:paraId="7AECB82D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>Issue 50:</w:t>
      </w:r>
      <w:r w:rsidRPr="00A57B22">
        <w:rPr>
          <w:rFonts w:ascii="Century Gothic" w:eastAsia="Times New Roman" w:hAnsi="Century Gothic" w:cs="Times New Roman"/>
          <w:b/>
          <w:bCs/>
          <w:color w:val="254E70"/>
          <w:sz w:val="24"/>
          <w:szCs w:val="24"/>
        </w:rPr>
        <w:t xml:space="preserve"> </w:t>
      </w:r>
      <w:hyperlink r:id="rId13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How Men Can Be Better Allies to Women</w:t>
        </w:r>
      </w:hyperlink>
    </w:p>
    <w:p w14:paraId="666298F3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51: </w:t>
      </w:r>
      <w:hyperlink r:id="rId14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The Net Promoter Survey Is Open</w:t>
        </w:r>
      </w:hyperlink>
    </w:p>
    <w:p w14:paraId="6F9283C2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52: </w:t>
      </w:r>
      <w:hyperlink r:id="rId15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Reasons to Celebrate</w:t>
        </w:r>
      </w:hyperlink>
    </w:p>
    <w:p w14:paraId="62D58F61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53: </w:t>
      </w:r>
      <w:hyperlink r:id="rId16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Happy Doctors' Day!</w:t>
        </w:r>
      </w:hyperlink>
    </w:p>
    <w:p w14:paraId="35EA5747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54: </w:t>
      </w:r>
      <w:hyperlink r:id="rId17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Patient Safety Video Winners and Patient Experience </w:t>
        </w:r>
      </w:hyperlink>
    </w:p>
    <w:p w14:paraId="7A230CDD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55: </w:t>
      </w:r>
      <w:hyperlink r:id="rId18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Time Boxing</w:t>
        </w:r>
      </w:hyperlink>
    </w:p>
    <w:p w14:paraId="2DB184D4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56: </w:t>
      </w:r>
      <w:hyperlink r:id="rId19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Owning the Morning</w:t>
        </w:r>
      </w:hyperlink>
    </w:p>
    <w:p w14:paraId="0E418D50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57: </w:t>
      </w:r>
      <w:hyperlink r:id="rId20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Sustainability at the University of California</w:t>
        </w:r>
      </w:hyperlink>
    </w:p>
    <w:p w14:paraId="03D6F6CE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58: </w:t>
      </w:r>
      <w:hyperlink r:id="rId21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Resources of the Faculty and Staff Assistance Program</w:t>
        </w:r>
      </w:hyperlink>
    </w:p>
    <w:p w14:paraId="68C6EDE9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59: </w:t>
      </w:r>
      <w:hyperlink r:id="rId22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SMART Goals </w:t>
        </w:r>
        <w:proofErr w:type="gramStart"/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For</w:t>
        </w:r>
        <w:proofErr w:type="gramEnd"/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 xml:space="preserve"> Our Own Well-Being</w:t>
        </w:r>
      </w:hyperlink>
    </w:p>
    <w:p w14:paraId="32A202E0" w14:textId="77777777" w:rsidR="00A57B22" w:rsidRPr="00A57B22" w:rsidRDefault="00A57B22" w:rsidP="00A57B22">
      <w:pPr>
        <w:shd w:val="clear" w:color="auto" w:fill="FFFFFF"/>
        <w:spacing w:after="0" w:line="240" w:lineRule="auto"/>
        <w:rPr>
          <w:rFonts w:ascii="Century Gothic" w:eastAsia="Times New Roman" w:hAnsi="Century Gothic" w:cs="Times New Roman"/>
          <w:color w:val="254E70"/>
          <w:sz w:val="24"/>
          <w:szCs w:val="24"/>
        </w:rPr>
      </w:pPr>
      <w:r w:rsidRPr="00A57B22">
        <w:rPr>
          <w:rFonts w:ascii="Century Gothic" w:eastAsia="Times New Roman" w:hAnsi="Century Gothic" w:cs="Times New Roman"/>
          <w:color w:val="254E70"/>
          <w:sz w:val="24"/>
          <w:szCs w:val="24"/>
        </w:rPr>
        <w:t xml:space="preserve">Issue 60: </w:t>
      </w:r>
      <w:hyperlink r:id="rId23" w:tgtFrame="_blank" w:history="1">
        <w:r w:rsidRPr="00A57B22">
          <w:rPr>
            <w:rFonts w:ascii="Century Gothic" w:eastAsia="Times New Roman" w:hAnsi="Century Gothic" w:cs="Times New Roman"/>
            <w:b/>
            <w:bCs/>
            <w:i/>
            <w:iCs/>
            <w:color w:val="254E70"/>
            <w:sz w:val="24"/>
            <w:szCs w:val="24"/>
            <w:u w:val="single"/>
          </w:rPr>
          <w:t>Revitalizing Parnassus Heights</w:t>
        </w:r>
      </w:hyperlink>
    </w:p>
    <w:bookmarkEnd w:id="0"/>
    <w:p w14:paraId="0F11D32D" w14:textId="77777777" w:rsidR="00B16949" w:rsidRDefault="00B16949"/>
    <w:sectPr w:rsidR="00B16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B22"/>
    <w:rsid w:val="00530F9A"/>
    <w:rsid w:val="00A57B22"/>
    <w:rsid w:val="00B1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98CE8"/>
  <w15:chartTrackingRefBased/>
  <w15:docId w15:val="{A92A3CB8-FE97-4CB3-9D1A-269410FC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57B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8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a.cc/2CWkK5f" TargetMode="External"/><Relationship Id="rId13" Type="http://schemas.openxmlformats.org/officeDocument/2006/relationships/hyperlink" Target="https://conta.cc/2TzuVHq" TargetMode="External"/><Relationship Id="rId18" Type="http://schemas.openxmlformats.org/officeDocument/2006/relationships/hyperlink" Target="https://conta.cc/2KvCpb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onta.cc/2GRUviv" TargetMode="External"/><Relationship Id="rId7" Type="http://schemas.openxmlformats.org/officeDocument/2006/relationships/hyperlink" Target="https://conta.cc/2DsjKqU" TargetMode="External"/><Relationship Id="rId12" Type="http://schemas.openxmlformats.org/officeDocument/2006/relationships/hyperlink" Target="https://conta.cc/2Epz1bf" TargetMode="External"/><Relationship Id="rId17" Type="http://schemas.openxmlformats.org/officeDocument/2006/relationships/hyperlink" Target="https://conta.cc/2KacB4b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onta.cc/2U5DVFe" TargetMode="External"/><Relationship Id="rId20" Type="http://schemas.openxmlformats.org/officeDocument/2006/relationships/hyperlink" Target="https://conta.cc/2ZstBWK" TargetMode="External"/><Relationship Id="rId1" Type="http://schemas.openxmlformats.org/officeDocument/2006/relationships/styles" Target="styles.xml"/><Relationship Id="rId6" Type="http://schemas.openxmlformats.org/officeDocument/2006/relationships/hyperlink" Target="https://conta.cc/2FHOd5R" TargetMode="External"/><Relationship Id="rId11" Type="http://schemas.openxmlformats.org/officeDocument/2006/relationships/hyperlink" Target="https://conta.cc/2E2Fclu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onta.cc/2Fnp00C" TargetMode="External"/><Relationship Id="rId15" Type="http://schemas.openxmlformats.org/officeDocument/2006/relationships/hyperlink" Target="https://conta.cc/2FtK2Kk" TargetMode="External"/><Relationship Id="rId23" Type="http://schemas.openxmlformats.org/officeDocument/2006/relationships/hyperlink" Target="https://conta.cc/2HzQCPD" TargetMode="External"/><Relationship Id="rId10" Type="http://schemas.openxmlformats.org/officeDocument/2006/relationships/hyperlink" Target="https://conta.cc/2DKgCG5" TargetMode="External"/><Relationship Id="rId19" Type="http://schemas.openxmlformats.org/officeDocument/2006/relationships/hyperlink" Target="https://conta.cc/2ZmltXS" TargetMode="External"/><Relationship Id="rId4" Type="http://schemas.openxmlformats.org/officeDocument/2006/relationships/hyperlink" Target="https://conta.cc/2F9kXon" TargetMode="External"/><Relationship Id="rId9" Type="http://schemas.openxmlformats.org/officeDocument/2006/relationships/hyperlink" Target="https://conta.cc/2DnqaXn" TargetMode="External"/><Relationship Id="rId14" Type="http://schemas.openxmlformats.org/officeDocument/2006/relationships/hyperlink" Target="https://conta.cc/2F2S9fC" TargetMode="External"/><Relationship Id="rId22" Type="http://schemas.openxmlformats.org/officeDocument/2006/relationships/hyperlink" Target="https://conta.cc/2H76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Sliwka, Diane</dc:creator>
  <cp:keywords/>
  <dc:description/>
  <cp:lastModifiedBy>Sliwka, Diane</cp:lastModifiedBy>
  <cp:revision>2</cp:revision>
  <dcterms:created xsi:type="dcterms:W3CDTF">2019-05-30T02:21:00Z</dcterms:created>
  <dcterms:modified xsi:type="dcterms:W3CDTF">2019-05-30T02:22:00Z</dcterms:modified>
</cp:coreProperties>
</file>