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4022" w14:paraId="379533EF" w14:textId="77777777" w:rsidTr="0074402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44022" w14:paraId="6379F0E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744022" w14:paraId="23EB90A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0"/>
                        </w:tblGrid>
                        <w:tr w:rsidR="00744022" w14:paraId="19995164" w14:textId="77777777">
                          <w:trPr>
                            <w:trHeight w:val="12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20F664" w14:textId="77777777" w:rsidR="00744022" w:rsidRDefault="00744022"/>
                          </w:tc>
                        </w:tr>
                        <w:tr w:rsidR="00744022" w14:paraId="37C019D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20"/>
                              </w:tblGrid>
                              <w:tr w:rsidR="00744022" w14:paraId="4CFC92FE" w14:textId="77777777">
                                <w:trPr>
                                  <w:trHeight w:val="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29D434DC" w14:textId="77777777" w:rsidR="00744022" w:rsidRPr="00744022" w:rsidRDefault="0074402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744022">
                                      <w:rPr>
                                        <w:rStyle w:val="title-1"/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Achieving Success in Work and Life: Perspectives </w:t>
                                    </w:r>
                                    <w:proofErr w:type="gramStart"/>
                                    <w:r w:rsidRPr="00744022">
                                      <w:rPr>
                                        <w:rStyle w:val="title-1"/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From</w:t>
                                    </w:r>
                                    <w:proofErr w:type="gramEnd"/>
                                    <w:r w:rsidRPr="00744022">
                                      <w:rPr>
                                        <w:rStyle w:val="title-1"/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Women Leaders at Houlihan Lokey </w:t>
                                    </w:r>
                                  </w:p>
                                </w:tc>
                              </w:tr>
                            </w:tbl>
                            <w:p w14:paraId="36D8D715" w14:textId="18DF43D6" w:rsidR="00744022" w:rsidRPr="00744022" w:rsidRDefault="00744022" w:rsidP="00744022">
                              <w:pPr>
                                <w:pStyle w:val="NormalWeb"/>
                                <w:spacing w:before="240" w:beforeAutospacing="0" w:after="240" w:afterAutospacing="0" w:line="360" w:lineRule="auto"/>
                              </w:pPr>
                              <w:r>
                                <w:rPr>
                                  <w:rStyle w:val="title-4"/>
                                  <w:rFonts w:ascii="Arial" w:hAnsi="Arial" w:cs="Arial"/>
                                  <w:color w:val="505050"/>
                                </w:rPr>
                                <w:t>Wednesday, April 29, 2020</w:t>
                              </w:r>
                              <w:r>
                                <w:rPr>
                                  <w:rFonts w:ascii="Arial" w:hAnsi="Arial" w:cs="Arial"/>
                                  <w:color w:val="505050"/>
                                </w:rPr>
                                <w:br/>
                              </w:r>
                              <w:r>
                                <w:rPr>
                                  <w:rStyle w:val="title-4"/>
                                  <w:rFonts w:ascii="Arial" w:hAnsi="Arial" w:cs="Arial"/>
                                  <w:color w:val="505050"/>
                                </w:rPr>
                                <w:t>5:00 p.m. – 6:00 p.m. EST</w:t>
                              </w:r>
                            </w:p>
                          </w:tc>
                        </w:tr>
                      </w:tbl>
                      <w:p w14:paraId="5FAD404C" w14:textId="483A15C6" w:rsidR="00744022" w:rsidRDefault="00744022">
                        <w:pPr>
                          <w:pStyle w:val="NormalWeb"/>
                          <w:spacing w:before="0" w:beforeAutospacing="0" w:after="240" w:afterAutospacing="0" w:line="360" w:lineRule="auto"/>
                        </w:pPr>
                        <w:r>
                          <w:rPr>
                            <w:rFonts w:ascii="Arial" w:hAnsi="Arial" w:cs="Arial"/>
                            <w:color w:val="505050"/>
                            <w:sz w:val="20"/>
                            <w:szCs w:val="20"/>
                          </w:rPr>
                          <w:t>You are invited to participate in an online panel discussion hosted by female leaders at Houlihan Lokey to learn about life within a financial services organization and, specifically, the experiences of women leadership at the firm.</w:t>
                        </w:r>
                      </w:p>
                      <w:p w14:paraId="14889DF8" w14:textId="4D0903AF" w:rsidR="00744022" w:rsidRDefault="00744022">
                        <w:pPr>
                          <w:pStyle w:val="NormalWeb"/>
                          <w:spacing w:before="0" w:beforeAutospacing="0" w:after="240" w:afterAutospacing="0" w:line="360" w:lineRule="auto"/>
                          <w:rPr>
                            <w:rFonts w:ascii="Arial" w:hAnsi="Arial" w:cs="Arial"/>
                            <w:color w:val="50505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505050"/>
                            <w:sz w:val="20"/>
                            <w:szCs w:val="20"/>
                          </w:rPr>
                          <w:t>This event will take place on Wednesday, April 29, from 5:00 p.m. to 6:00 p.m. EST and is open to both undergraduate students and MBA candidates.</w:t>
                        </w:r>
                      </w:p>
                      <w:p w14:paraId="6DDF2AEF" w14:textId="77777777" w:rsidR="00744022" w:rsidRDefault="00744022">
                        <w:pPr>
                          <w:pStyle w:val="NormalWeb"/>
                          <w:spacing w:before="0" w:beforeAutospacing="0" w:after="240" w:afterAutospacing="0" w:line="360" w:lineRule="auto"/>
                        </w:pPr>
                      </w:p>
                      <w:p w14:paraId="5820FE52" w14:textId="77777777" w:rsidR="00744022" w:rsidRDefault="00744022">
                        <w:pPr>
                          <w:pStyle w:val="NormalWeb"/>
                          <w:spacing w:before="0" w:beforeAutospacing="0" w:after="240" w:afterAutospacing="0" w:line="360" w:lineRule="auto"/>
                        </w:pPr>
                        <w:r>
                          <w:rPr>
                            <w:rStyle w:val="title-3"/>
                            <w:rFonts w:ascii="Arial" w:hAnsi="Arial" w:cs="Arial"/>
                            <w:color w:val="000000"/>
                            <w:sz w:val="27"/>
                            <w:szCs w:val="27"/>
                          </w:rPr>
                          <w:t>Panelists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"/>
                          <w:gridCol w:w="300"/>
                          <w:gridCol w:w="3000"/>
                        </w:tblGrid>
                        <w:tr w:rsidR="00744022" w14:paraId="505FF9DD" w14:textId="77777777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4C977B8" w14:textId="77777777" w:rsidR="00744022" w:rsidRDefault="00744022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027ED9" w14:textId="77777777" w:rsidR="00744022" w:rsidRDefault="0074402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AC91CBB" w14:textId="77777777" w:rsidR="00744022" w:rsidRDefault="0074402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44022" w14:paraId="1F118429" w14:textId="77777777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vAlign w:val="center"/>
                              <w:hideMark/>
                            </w:tcPr>
                            <w:p w14:paraId="0D017B84" w14:textId="0B409456" w:rsidR="00744022" w:rsidRDefault="00744022">
                              <w:pPr>
                                <w:pStyle w:val="NormalWeb"/>
                                <w:spacing w:before="150" w:beforeAutospacing="0" w:after="0" w:afterAutospacing="0" w:line="360" w:lineRule="auto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74747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29CE64CF" wp14:editId="4D532F0B">
                                    <wp:extent cx="1047750" cy="1047750"/>
                                    <wp:effectExtent l="0" t="0" r="0" b="0"/>
                                    <wp:docPr id="5" name="Picture 5" descr="Jen Mull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Jen Mull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t>​</w:t>
                              </w:r>
                            </w:p>
                          </w:tc>
                          <w:tc>
                            <w:tcPr>
                              <w:tcW w:w="300" w:type="dxa"/>
                              <w:hideMark/>
                            </w:tcPr>
                            <w:p w14:paraId="0CEC1D78" w14:textId="77777777" w:rsidR="00744022" w:rsidRDefault="00744022"/>
                          </w:tc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14:paraId="59334601" w14:textId="77777777" w:rsidR="00744022" w:rsidRDefault="00744022">
                              <w:pPr>
                                <w:pStyle w:val="NormalWeb"/>
                                <w:spacing w:before="150" w:beforeAutospacing="0" w:after="0" w:afterAutospacing="0" w:line="360" w:lineRule="auto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t>Jennifer Muller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  <w:t>Managing Director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  <w:t>Head of Transaction Opinions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  <w:t>Financial and Valuation Advisory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447D9B"/>
                                    <w:sz w:val="21"/>
                                    <w:szCs w:val="21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744022" w14:paraId="57827202" w14:textId="77777777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07CCAB" w14:textId="77777777" w:rsidR="00744022" w:rsidRDefault="00744022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C43A9AB" w14:textId="77777777" w:rsidR="00744022" w:rsidRDefault="0074402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D0CE2E" w14:textId="77777777" w:rsidR="00744022" w:rsidRDefault="0074402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44022" w14:paraId="3C307BC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25C9284" w14:textId="1DB49CDB" w:rsidR="00744022" w:rsidRDefault="00744022">
                              <w:pPr>
                                <w:pStyle w:val="NormalWeb"/>
                                <w:spacing w:before="150" w:beforeAutospacing="0" w:after="0" w:afterAutospacing="0" w:line="360" w:lineRule="auto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74747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6DFE204E" wp14:editId="7A5EB0E1">
                                    <wp:extent cx="1047750" cy="1047750"/>
                                    <wp:effectExtent l="0" t="0" r="0" b="0"/>
                                    <wp:docPr id="4" name="Picture 4" descr="Surbhi Gupt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Surbhi Gupt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t>​</w:t>
                              </w:r>
                            </w:p>
                          </w:tc>
                          <w:tc>
                            <w:tcPr>
                              <w:tcW w:w="300" w:type="dxa"/>
                              <w:hideMark/>
                            </w:tcPr>
                            <w:p w14:paraId="746D98FB" w14:textId="77777777" w:rsidR="00744022" w:rsidRDefault="00744022"/>
                          </w:tc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14:paraId="2B92DCE1" w14:textId="77777777" w:rsidR="00744022" w:rsidRDefault="00744022">
                              <w:pPr>
                                <w:pStyle w:val="NormalWeb"/>
                                <w:spacing w:before="150" w:beforeAutospacing="0" w:after="0" w:afterAutospacing="0" w:line="360" w:lineRule="auto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t>Surbhi Gupta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  <w:t>Managing Director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  <w:t>Financial Restructuring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447D9B"/>
                                    <w:sz w:val="21"/>
                                    <w:szCs w:val="21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744022" w14:paraId="03DD2FAD" w14:textId="77777777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096B8B" w14:textId="77777777" w:rsidR="00744022" w:rsidRDefault="00744022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36F7CB4" w14:textId="77777777" w:rsidR="00744022" w:rsidRDefault="0074402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70FCAA1" w14:textId="77777777" w:rsidR="00744022" w:rsidRDefault="0074402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44022" w14:paraId="7E3D135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77AA144" w14:textId="7982F4C4" w:rsidR="00744022" w:rsidRDefault="00744022">
                              <w:pPr>
                                <w:pStyle w:val="NormalWeb"/>
                                <w:spacing w:before="150" w:beforeAutospacing="0" w:after="0" w:afterAutospacing="0" w:line="360" w:lineRule="auto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74747"/>
                                  <w:sz w:val="21"/>
                                  <w:szCs w:val="21"/>
                                </w:rPr>
                                <w:lastRenderedPageBreak/>
                                <w:drawing>
                                  <wp:inline distT="0" distB="0" distL="0" distR="0" wp14:anchorId="492A38A3" wp14:editId="059D2AE3">
                                    <wp:extent cx="1047750" cy="1047750"/>
                                    <wp:effectExtent l="0" t="0" r="0" b="0"/>
                                    <wp:docPr id="3" name="Picture 3" descr="Susan Rodd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Susan Rodd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0" w:type="dxa"/>
                              <w:hideMark/>
                            </w:tcPr>
                            <w:p w14:paraId="168987FF" w14:textId="77777777" w:rsidR="00744022" w:rsidRDefault="00744022"/>
                          </w:tc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14:paraId="3532F065" w14:textId="77777777" w:rsidR="00744022" w:rsidRDefault="00744022">
                              <w:pPr>
                                <w:pStyle w:val="NormalWeb"/>
                                <w:spacing w:before="150" w:beforeAutospacing="0" w:after="0" w:afterAutospacing="0" w:line="360" w:lineRule="auto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t>Susan Roddy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  <w:t>Managing Director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  <w:t>Corporate Finance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447D9B"/>
                                    <w:sz w:val="21"/>
                                    <w:szCs w:val="21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744022" w14:paraId="0BA28988" w14:textId="77777777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81C5A89" w14:textId="77777777" w:rsidR="00744022" w:rsidRDefault="00744022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2C9F08B" w14:textId="77777777" w:rsidR="00744022" w:rsidRDefault="0074402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81DD5DE" w14:textId="77777777" w:rsidR="00744022" w:rsidRDefault="0074402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44022" w14:paraId="5F9D4A1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582DEC0" w14:textId="5E64C463" w:rsidR="00744022" w:rsidRDefault="00744022">
                              <w:pPr>
                                <w:pStyle w:val="NormalWeb"/>
                                <w:spacing w:before="150" w:beforeAutospacing="0" w:after="0" w:afterAutospacing="0" w:line="360" w:lineRule="auto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74747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73CB990F" wp14:editId="5A11227C">
                                    <wp:extent cx="1047750" cy="1047750"/>
                                    <wp:effectExtent l="0" t="0" r="0" b="0"/>
                                    <wp:docPr id="2" name="Picture 2" descr="Maria Sing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Maria Sing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0" w:type="dxa"/>
                              <w:hideMark/>
                            </w:tcPr>
                            <w:p w14:paraId="38A85C5E" w14:textId="77777777" w:rsidR="00744022" w:rsidRDefault="00744022"/>
                          </w:tc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14:paraId="2DEC5C4A" w14:textId="77777777" w:rsidR="00744022" w:rsidRDefault="00744022">
                              <w:pPr>
                                <w:pStyle w:val="NormalWeb"/>
                                <w:spacing w:before="150" w:beforeAutospacing="0" w:after="0" w:afterAutospacing="0" w:line="360" w:lineRule="auto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t>Maria Singer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  <w:t>Chief Operating Officer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  <w:t>Corporate Finance</w:t>
                              </w:r>
                              <w:r>
                                <w:rPr>
                                  <w:rFonts w:ascii="Arial" w:hAnsi="Arial" w:cs="Arial"/>
                                  <w:color w:val="474747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447D9B"/>
                                    <w:sz w:val="21"/>
                                    <w:szCs w:val="21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744022" w14:paraId="5949F5DA" w14:textId="77777777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2F3715" w14:textId="77777777" w:rsidR="00744022" w:rsidRDefault="00744022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E60F05B" w14:textId="77777777" w:rsidR="00744022" w:rsidRDefault="0074402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7F190BA" w14:textId="77777777" w:rsidR="00744022" w:rsidRDefault="0074402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33A91D" w14:textId="38E75945" w:rsidR="00744022" w:rsidRDefault="00744022">
                        <w:pPr>
                          <w:pStyle w:val="NormalWeb"/>
                          <w:spacing w:before="0" w:beforeAutospacing="0" w:after="240" w:afterAutospacing="0" w:line="360" w:lineRule="auto"/>
                        </w:pPr>
                        <w:r>
                          <w:rPr>
                            <w:rFonts w:ascii="Arial" w:hAnsi="Arial" w:cs="Arial"/>
                            <w:color w:val="505050"/>
                            <w:sz w:val="20"/>
                            <w:szCs w:val="20"/>
                          </w:rPr>
                          <w:t xml:space="preserve">Houlihan Lokey (NYSE:HLI) is a global investment bank with expertise in </w:t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A509E"/>
                              <w:sz w:val="20"/>
                              <w:szCs w:val="20"/>
                            </w:rPr>
                            <w:t>mergers and acquisitions</w:t>
                          </w:r>
                        </w:hyperlink>
                        <w:r>
                          <w:rPr>
                            <w:rFonts w:ascii="Arial" w:hAnsi="Arial" w:cs="Arial"/>
                            <w:color w:val="505050"/>
                            <w:sz w:val="20"/>
                            <w:szCs w:val="20"/>
                          </w:rPr>
                          <w:t xml:space="preserve">, </w:t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A509E"/>
                              <w:sz w:val="20"/>
                              <w:szCs w:val="20"/>
                            </w:rPr>
                            <w:t>capital markets</w:t>
                          </w:r>
                        </w:hyperlink>
                        <w:r>
                          <w:rPr>
                            <w:rFonts w:ascii="Arial" w:hAnsi="Arial" w:cs="Arial"/>
                            <w:color w:val="505050"/>
                            <w:sz w:val="20"/>
                            <w:szCs w:val="20"/>
                          </w:rPr>
                          <w:t xml:space="preserve">, </w:t>
                        </w:r>
                        <w:hyperlink r:id="rId1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A509E"/>
                              <w:sz w:val="20"/>
                              <w:szCs w:val="20"/>
                            </w:rPr>
                            <w:t>financial restructuring</w:t>
                          </w:r>
                        </w:hyperlink>
                        <w:r>
                          <w:rPr>
                            <w:rFonts w:ascii="Arial" w:hAnsi="Arial" w:cs="Arial"/>
                            <w:color w:val="505050"/>
                            <w:sz w:val="20"/>
                            <w:szCs w:val="20"/>
                          </w:rPr>
                          <w:t xml:space="preserve">, and </w:t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A509E"/>
                              <w:sz w:val="20"/>
                              <w:szCs w:val="20"/>
                            </w:rPr>
                            <w:t>valuation</w:t>
                          </w:r>
                        </w:hyperlink>
                        <w:r>
                          <w:rPr>
                            <w:rFonts w:ascii="Arial" w:hAnsi="Arial" w:cs="Arial"/>
                            <w:color w:val="505050"/>
                            <w:sz w:val="20"/>
                            <w:szCs w:val="20"/>
                          </w:rPr>
                          <w:t>. The firm serves corporations, institutions, and governments worldwide with offices in the United States, Europe, the Middle East, and the Asia</w:t>
                        </w:r>
                        <w:r>
                          <w:rPr>
                            <w:rFonts w:ascii="Arial" w:hAnsi="Arial" w:cs="Arial"/>
                            <w:color w:val="505050"/>
                            <w:sz w:val="20"/>
                            <w:szCs w:val="20"/>
                          </w:rPr>
                          <w:noBreakHyphen/>
                          <w:t>Pacific region. Independent advice and intellectual rigor are hallmarks of the firm’s commitment to client success across its advisory services. Houlihan Lokey is the No. 1 M&amp;A advisor for the past five consecutive years in the U.S., the No. 1 global restructuring advisor for the past six consecutive years, and the No. 1 global M&amp;A fairness opinion advisor over the past 20 years, all based on number of transactions and according to data provided by Refinitiv (formerly Thomson Reuters).</w:t>
                        </w:r>
                      </w:p>
                    </w:tc>
                  </w:tr>
                  <w:tr w:rsidR="00744022" w14:paraId="7CA80DF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C776D47" w14:textId="444CB002" w:rsidR="00744022" w:rsidRPr="00744022" w:rsidRDefault="00744022" w:rsidP="00744022">
                        <w:pPr>
                          <w:rPr>
                            <w:rFonts w:ascii="Arial" w:eastAsia="Times New Roman" w:hAnsi="Arial" w:cs="Arial"/>
                            <w:color w:val="50505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2BA586" w14:textId="77777777" w:rsidR="00744022" w:rsidRDefault="0074402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81BA4FC" w14:textId="77777777" w:rsidR="00744022" w:rsidRDefault="007440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B8FF60" w14:textId="77777777" w:rsidR="00625136" w:rsidRDefault="00222C82"/>
    <w:sectPr w:rsidR="0062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22"/>
    <w:rsid w:val="000659DA"/>
    <w:rsid w:val="00222C82"/>
    <w:rsid w:val="00744022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3914"/>
  <w15:chartTrackingRefBased/>
  <w15:docId w15:val="{2E873429-6BF6-4559-980D-F5F8A3E5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0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402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title-1">
    <w:name w:val="title-1"/>
    <w:basedOn w:val="DefaultParagraphFont"/>
    <w:rsid w:val="00744022"/>
  </w:style>
  <w:style w:type="character" w:customStyle="1" w:styleId="title-4">
    <w:name w:val="title-4"/>
    <w:basedOn w:val="DefaultParagraphFont"/>
    <w:rsid w:val="00744022"/>
  </w:style>
  <w:style w:type="character" w:customStyle="1" w:styleId="title-2">
    <w:name w:val="title-2"/>
    <w:basedOn w:val="DefaultParagraphFont"/>
    <w:rsid w:val="00744022"/>
  </w:style>
  <w:style w:type="character" w:customStyle="1" w:styleId="title-3">
    <w:name w:val="title-3"/>
    <w:basedOn w:val="DefaultParagraphFont"/>
    <w:rsid w:val="00744022"/>
  </w:style>
  <w:style w:type="character" w:styleId="Strong">
    <w:name w:val="Strong"/>
    <w:basedOn w:val="DefaultParagraphFont"/>
    <w:uiPriority w:val="22"/>
    <w:qFormat/>
    <w:rsid w:val="00744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hl.com/services/corporate-finance/capital-marke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l.com/contact-us/surbhi-gupta" TargetMode="External"/><Relationship Id="rId12" Type="http://schemas.openxmlformats.org/officeDocument/2006/relationships/hyperlink" Target="http://hl.com/services/corporate-finance/mergers-and-acquisition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hl.com/contact-us/maria-singer" TargetMode="External"/><Relationship Id="rId5" Type="http://schemas.openxmlformats.org/officeDocument/2006/relationships/hyperlink" Target="https://hl.com/contact-us/jennifer-muller" TargetMode="External"/><Relationship Id="rId15" Type="http://schemas.openxmlformats.org/officeDocument/2006/relationships/hyperlink" Target="https://hl.com/services/financial-and-valuation-advisory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hl.com/contact-us/susan-roddy" TargetMode="External"/><Relationship Id="rId14" Type="http://schemas.openxmlformats.org/officeDocument/2006/relationships/hyperlink" Target="http://hl.com/services/financial-restructu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Preble</dc:creator>
  <cp:keywords/>
  <dc:description/>
  <cp:lastModifiedBy>Victoria Preble</cp:lastModifiedBy>
  <cp:revision>2</cp:revision>
  <dcterms:created xsi:type="dcterms:W3CDTF">2020-04-17T12:30:00Z</dcterms:created>
  <dcterms:modified xsi:type="dcterms:W3CDTF">2020-04-17T12:30:00Z</dcterms:modified>
</cp:coreProperties>
</file>