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47EE" w14:textId="58AB2EA3" w:rsidR="00A877B1" w:rsidRPr="000E0E2F" w:rsidRDefault="00A877B1" w:rsidP="000E0E2F">
      <w:pPr>
        <w:pStyle w:val="Heading3"/>
        <w:spacing w:before="40" w:after="0" w:line="240" w:lineRule="auto"/>
        <w:jc w:val="right"/>
        <w:rPr>
          <w:rFonts w:asciiTheme="majorHAnsi" w:hAnsiTheme="majorHAnsi"/>
          <w:color w:val="0A2F40" w:themeColor="accent1" w:themeShade="7F"/>
          <w:sz w:val="24"/>
          <w:szCs w:val="24"/>
        </w:rPr>
      </w:pPr>
      <w:r w:rsidRPr="000E0E2F">
        <w:rPr>
          <w:rFonts w:asciiTheme="majorHAnsi" w:hAnsiTheme="majorHAnsi"/>
          <w:color w:val="0A2F40" w:themeColor="accent1" w:themeShade="7F"/>
          <w:sz w:val="24"/>
          <w:szCs w:val="24"/>
        </w:rPr>
        <w:t>#</w:t>
      </w:r>
      <w:r w:rsidR="00756AEE" w:rsidRPr="000E0E2F">
        <w:rPr>
          <w:rFonts w:asciiTheme="majorHAnsi" w:hAnsiTheme="majorHAnsi"/>
          <w:color w:val="0A2F40" w:themeColor="accent1" w:themeShade="7F"/>
          <w:sz w:val="24"/>
          <w:szCs w:val="24"/>
        </w:rPr>
        <w:t>24-</w:t>
      </w:r>
      <w:r w:rsidR="002B3672" w:rsidRPr="000E0E2F">
        <w:rPr>
          <w:rFonts w:asciiTheme="majorHAnsi" w:hAnsiTheme="majorHAnsi"/>
          <w:color w:val="0A2F40" w:themeColor="accent1" w:themeShade="7F"/>
          <w:sz w:val="24"/>
          <w:szCs w:val="24"/>
        </w:rPr>
        <w:t>7</w:t>
      </w:r>
      <w:r w:rsidRPr="000E0E2F">
        <w:rPr>
          <w:rFonts w:asciiTheme="majorHAnsi" w:hAnsiTheme="majorHAnsi"/>
          <w:color w:val="0A2F40" w:themeColor="accent1" w:themeShade="7F"/>
          <w:sz w:val="24"/>
          <w:szCs w:val="24"/>
        </w:rPr>
        <w:t xml:space="preserve"> </w:t>
      </w:r>
      <w:r w:rsidR="005F11F6">
        <w:rPr>
          <w:rFonts w:asciiTheme="majorHAnsi" w:hAnsiTheme="majorHAnsi"/>
          <w:color w:val="0A2F40" w:themeColor="accent1" w:themeShade="7F"/>
          <w:sz w:val="24"/>
          <w:szCs w:val="24"/>
        </w:rPr>
        <w:t>September</w:t>
      </w:r>
      <w:r w:rsidRPr="000E0E2F">
        <w:rPr>
          <w:rFonts w:asciiTheme="majorHAnsi" w:hAnsiTheme="majorHAnsi"/>
          <w:color w:val="0A2F40" w:themeColor="accent1" w:themeShade="7F"/>
          <w:sz w:val="24"/>
          <w:szCs w:val="24"/>
        </w:rPr>
        <w:t xml:space="preserve"> 2025</w:t>
      </w:r>
    </w:p>
    <w:bookmarkStart w:id="0" w:name="_Hlk201925149"/>
    <w:bookmarkEnd w:id="0"/>
    <w:p w14:paraId="540D0867" w14:textId="7F12A82A" w:rsidR="00A877B1" w:rsidRPr="00A877B1" w:rsidRDefault="00756AEE" w:rsidP="00E0102B">
      <w:pPr>
        <w:pStyle w:val="Heading2"/>
        <w:spacing w:before="0" w:after="0" w:line="240" w:lineRule="auto"/>
        <w:rPr>
          <w:rFonts w:ascii="Adelle" w:eastAsia="Times New Roman" w:hAnsi="Adelle" w:cs="Times New Roman"/>
          <w:b/>
          <w:color w:val="E97132" w:themeColor="accent2"/>
          <w:sz w:val="44"/>
          <w:szCs w:val="24"/>
          <w:lang w:val="en-US"/>
        </w:rPr>
      </w:pPr>
      <w:r w:rsidRPr="000E0E2F">
        <w:rPr>
          <w:rFonts w:ascii="Adelle" w:eastAsiaTheme="minorHAnsi" w:hAnsi="Adelle" w:cstheme="minorBidi"/>
          <w:b/>
          <w:noProof/>
          <w:color w:val="E97132" w:themeColor="accent2"/>
          <w:sz w:val="44"/>
          <w:szCs w:val="24"/>
          <w:lang w:val="en-US"/>
        </w:rPr>
        <mc:AlternateContent>
          <mc:Choice Requires="wps">
            <w:drawing>
              <wp:anchor distT="45720" distB="45720" distL="114300" distR="114300" simplePos="0" relativeHeight="251659264" behindDoc="0" locked="0" layoutInCell="1" allowOverlap="1" wp14:anchorId="4D341943" wp14:editId="057FDC45">
                <wp:simplePos x="0" y="0"/>
                <wp:positionH relativeFrom="margin">
                  <wp:posOffset>3723738</wp:posOffset>
                </wp:positionH>
                <wp:positionV relativeFrom="paragraph">
                  <wp:posOffset>511175</wp:posOffset>
                </wp:positionV>
                <wp:extent cx="2360930" cy="1404620"/>
                <wp:effectExtent l="0" t="0" r="2286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2">
                            <a:lumMod val="10000"/>
                            <a:lumOff val="90000"/>
                          </a:schemeClr>
                        </a:solidFill>
                        <a:ln w="9525">
                          <a:solidFill>
                            <a:schemeClr val="bg1"/>
                          </a:solidFill>
                          <a:miter lim="800000"/>
                          <a:headEnd/>
                          <a:tailEnd/>
                        </a:ln>
                      </wps:spPr>
                      <wps:txbx>
                        <w:txbxContent>
                          <w:p w14:paraId="1C1C3EC1" w14:textId="77777777" w:rsidR="00756AEE" w:rsidRPr="00CE093D" w:rsidRDefault="00756AEE" w:rsidP="00756AEE">
                            <w:pPr>
                              <w:pStyle w:val="COPParagraph"/>
                              <w:rPr>
                                <w:b/>
                                <w:bCs/>
                                <w:sz w:val="22"/>
                                <w:szCs w:val="22"/>
                              </w:rPr>
                            </w:pPr>
                            <w:r w:rsidRPr="00CE093D">
                              <w:rPr>
                                <w:b/>
                                <w:bCs/>
                                <w:sz w:val="22"/>
                                <w:szCs w:val="22"/>
                              </w:rPr>
                              <w:t xml:space="preserve">What is the COP Network? </w:t>
                            </w:r>
                          </w:p>
                          <w:p w14:paraId="02A03E3F" w14:textId="72F76F06" w:rsidR="00756AEE" w:rsidRPr="00CE093D" w:rsidRDefault="00756AEE" w:rsidP="00756AEE">
                            <w:pPr>
                              <w:pStyle w:val="COPParagraph"/>
                              <w:jc w:val="left"/>
                              <w:rPr>
                                <w:rFonts w:eastAsiaTheme="minorEastAsia"/>
                                <w:sz w:val="22"/>
                                <w:szCs w:val="22"/>
                                <w:lang w:eastAsia="zh-CN"/>
                              </w:rPr>
                            </w:pPr>
                            <w:r w:rsidRPr="00D51789">
                              <w:rPr>
                                <w:sz w:val="22"/>
                                <w:szCs w:val="22"/>
                              </w:rPr>
                              <w:t xml:space="preserve">The Canadian Cow-calf Cost of Production Network (COP Network) </w:t>
                            </w:r>
                            <w:r>
                              <w:rPr>
                                <w:sz w:val="22"/>
                                <w:szCs w:val="22"/>
                              </w:rPr>
                              <w:t>u</w:t>
                            </w:r>
                            <w:r w:rsidRPr="00D51789">
                              <w:rPr>
                                <w:sz w:val="22"/>
                                <w:szCs w:val="22"/>
                              </w:rPr>
                              <w:t>s</w:t>
                            </w:r>
                            <w:r>
                              <w:rPr>
                                <w:sz w:val="22"/>
                                <w:szCs w:val="22"/>
                              </w:rPr>
                              <w:t>es</w:t>
                            </w:r>
                            <w:r w:rsidRPr="00D51789">
                              <w:rPr>
                                <w:sz w:val="22"/>
                                <w:szCs w:val="22"/>
                              </w:rPr>
                              <w:t xml:space="preserve"> standardized data collection </w:t>
                            </w:r>
                            <w:r>
                              <w:rPr>
                                <w:sz w:val="22"/>
                                <w:szCs w:val="22"/>
                              </w:rPr>
                              <w:t xml:space="preserve">which </w:t>
                            </w:r>
                            <w:r w:rsidRPr="00D51789">
                              <w:rPr>
                                <w:sz w:val="22"/>
                                <w:szCs w:val="22"/>
                              </w:rPr>
                              <w:t xml:space="preserve">allows for comparison both within and between provinces, </w:t>
                            </w:r>
                            <w:r>
                              <w:rPr>
                                <w:sz w:val="22"/>
                                <w:szCs w:val="22"/>
                              </w:rPr>
                              <w:t>and internationally</w:t>
                            </w:r>
                            <w:r w:rsidRPr="00D51789">
                              <w:rPr>
                                <w:sz w:val="22"/>
                                <w:szCs w:val="22"/>
                              </w:rPr>
                              <w:t xml:space="preserve">. </w:t>
                            </w:r>
                            <w:r w:rsidRPr="00D51789">
                              <w:rPr>
                                <w:rFonts w:eastAsiaTheme="minorEastAsia" w:hint="eastAsia"/>
                                <w:sz w:val="22"/>
                                <w:szCs w:val="22"/>
                                <w:lang w:eastAsia="zh-CN"/>
                              </w:rPr>
                              <w:t xml:space="preserve">Since </w:t>
                            </w:r>
                            <w:r w:rsidRPr="00D51789">
                              <w:rPr>
                                <w:rFonts w:eastAsiaTheme="minorEastAsia"/>
                                <w:sz w:val="22"/>
                                <w:szCs w:val="22"/>
                                <w:lang w:eastAsia="zh-CN"/>
                              </w:rPr>
                              <w:t>launch</w:t>
                            </w:r>
                            <w:r>
                              <w:rPr>
                                <w:rFonts w:eastAsiaTheme="minorEastAsia"/>
                                <w:sz w:val="22"/>
                                <w:szCs w:val="22"/>
                                <w:lang w:eastAsia="zh-CN"/>
                              </w:rPr>
                              <w:t>ing</w:t>
                            </w:r>
                            <w:r w:rsidRPr="00D51789">
                              <w:rPr>
                                <w:rFonts w:eastAsiaTheme="minorEastAsia" w:hint="eastAsia"/>
                                <w:sz w:val="22"/>
                                <w:szCs w:val="22"/>
                                <w:lang w:eastAsia="zh-CN"/>
                              </w:rPr>
                              <w:t xml:space="preserve"> in 2021, the COP Network has collected data from over 2</w:t>
                            </w:r>
                            <w:r>
                              <w:rPr>
                                <w:rFonts w:eastAsiaTheme="minorEastAsia"/>
                                <w:sz w:val="22"/>
                                <w:szCs w:val="22"/>
                                <w:lang w:eastAsia="zh-CN"/>
                              </w:rPr>
                              <w:t>3</w:t>
                            </w:r>
                            <w:r w:rsidRPr="00D51789">
                              <w:rPr>
                                <w:rFonts w:eastAsiaTheme="minorEastAsia" w:hint="eastAsia"/>
                                <w:sz w:val="22"/>
                                <w:szCs w:val="22"/>
                                <w:lang w:eastAsia="zh-CN"/>
                              </w:rPr>
                              <w:t xml:space="preserve">5 producers </w:t>
                            </w:r>
                            <w:r>
                              <w:rPr>
                                <w:rFonts w:eastAsiaTheme="minorEastAsia"/>
                                <w:sz w:val="22"/>
                                <w:szCs w:val="22"/>
                                <w:lang w:eastAsia="zh-CN"/>
                              </w:rPr>
                              <w:t>contributing to 6</w:t>
                            </w:r>
                            <w:r w:rsidR="00484EE3">
                              <w:rPr>
                                <w:rFonts w:eastAsiaTheme="minorEastAsia"/>
                                <w:sz w:val="22"/>
                                <w:szCs w:val="22"/>
                                <w:lang w:eastAsia="zh-CN"/>
                              </w:rPr>
                              <w:t>4</w:t>
                            </w:r>
                            <w:r w:rsidRPr="00D51789">
                              <w:rPr>
                                <w:rFonts w:eastAsiaTheme="minorEastAsia" w:hint="eastAsia"/>
                                <w:sz w:val="22"/>
                                <w:szCs w:val="22"/>
                                <w:lang w:eastAsia="zh-CN"/>
                              </w:rPr>
                              <w:t xml:space="preserve"> </w:t>
                            </w:r>
                            <w:r>
                              <w:rPr>
                                <w:rFonts w:eastAsiaTheme="minorEastAsia"/>
                                <w:sz w:val="22"/>
                                <w:szCs w:val="22"/>
                                <w:lang w:eastAsia="zh-CN"/>
                              </w:rPr>
                              <w:t xml:space="preserve">cow-calf </w:t>
                            </w:r>
                            <w:r w:rsidRPr="00D51789">
                              <w:rPr>
                                <w:rFonts w:eastAsiaTheme="minorEastAsia" w:hint="eastAsia"/>
                                <w:sz w:val="22"/>
                                <w:szCs w:val="22"/>
                                <w:lang w:eastAsia="zh-CN"/>
                              </w:rPr>
                              <w:t xml:space="preserve">benchmark farms that represent various </w:t>
                            </w:r>
                            <w:r w:rsidR="00896C63">
                              <w:rPr>
                                <w:rFonts w:eastAsiaTheme="minorEastAsia"/>
                                <w:sz w:val="22"/>
                                <w:szCs w:val="22"/>
                                <w:lang w:eastAsia="zh-CN"/>
                              </w:rPr>
                              <w:t>management</w:t>
                            </w:r>
                            <w:r w:rsidRPr="00D51789">
                              <w:rPr>
                                <w:rFonts w:eastAsiaTheme="minorEastAsia" w:hint="eastAsia"/>
                                <w:sz w:val="22"/>
                                <w:szCs w:val="22"/>
                                <w:lang w:eastAsia="zh-CN"/>
                              </w:rPr>
                              <w:t xml:space="preserve"> systems. Each benchmark is based on data from </w:t>
                            </w:r>
                            <w:r>
                              <w:rPr>
                                <w:rFonts w:eastAsiaTheme="minorEastAsia"/>
                                <w:sz w:val="22"/>
                                <w:szCs w:val="22"/>
                                <w:lang w:eastAsia="zh-CN"/>
                              </w:rPr>
                              <w:t>3-7</w:t>
                            </w:r>
                            <w:r w:rsidRPr="00D51789">
                              <w:rPr>
                                <w:rFonts w:eastAsiaTheme="minorEastAsia" w:hint="eastAsia"/>
                                <w:sz w:val="22"/>
                                <w:szCs w:val="22"/>
                                <w:lang w:eastAsia="zh-CN"/>
                              </w:rPr>
                              <w:t xml:space="preserve"> producers. </w:t>
                            </w:r>
                            <w:r w:rsidRPr="00B66052">
                              <w:rPr>
                                <w:rFonts w:eastAsiaTheme="minorEastAsia" w:hint="eastAsia"/>
                                <w:sz w:val="22"/>
                                <w:szCs w:val="22"/>
                                <w:lang w:val="en-CA" w:eastAsia="zh-CN"/>
                              </w:rPr>
                              <w:t>Data collect</w:t>
                            </w:r>
                            <w:r>
                              <w:rPr>
                                <w:rFonts w:eastAsiaTheme="minorEastAsia"/>
                                <w:sz w:val="22"/>
                                <w:szCs w:val="22"/>
                                <w:lang w:val="en-CA" w:eastAsia="zh-CN"/>
                              </w:rPr>
                              <w:t xml:space="preserve">ion occurs every 5 years with </w:t>
                            </w:r>
                            <w:r w:rsidRPr="00B66052">
                              <w:rPr>
                                <w:rFonts w:eastAsiaTheme="minorEastAsia"/>
                                <w:sz w:val="22"/>
                                <w:szCs w:val="22"/>
                                <w:lang w:eastAsia="zh-CN"/>
                              </w:rPr>
                              <w:t>annual</w:t>
                            </w:r>
                            <w:r w:rsidRPr="00B66052">
                              <w:rPr>
                                <w:rFonts w:eastAsiaTheme="minorEastAsia" w:hint="eastAsia"/>
                                <w:sz w:val="22"/>
                                <w:szCs w:val="22"/>
                                <w:lang w:eastAsia="zh-CN"/>
                              </w:rPr>
                              <w:t xml:space="preserve"> indexing </w:t>
                            </w:r>
                            <w:r>
                              <w:rPr>
                                <w:rFonts w:eastAsiaTheme="minorEastAsia"/>
                                <w:sz w:val="22"/>
                                <w:szCs w:val="22"/>
                                <w:lang w:eastAsia="zh-CN"/>
                              </w:rPr>
                              <w:t xml:space="preserve">of input and output prices, </w:t>
                            </w:r>
                            <w:r w:rsidRPr="00B66052">
                              <w:rPr>
                                <w:rFonts w:eastAsiaTheme="minorEastAsia" w:hint="eastAsia"/>
                                <w:sz w:val="22"/>
                                <w:szCs w:val="22"/>
                                <w:lang w:eastAsia="zh-CN"/>
                              </w:rPr>
                              <w:t xml:space="preserve">as well as crop and </w:t>
                            </w:r>
                            <w:r w:rsidRPr="00B66052">
                              <w:rPr>
                                <w:rFonts w:eastAsiaTheme="minorEastAsia"/>
                                <w:sz w:val="22"/>
                                <w:szCs w:val="22"/>
                                <w:lang w:eastAsia="zh-CN"/>
                              </w:rPr>
                              <w:t>fora</w:t>
                            </w:r>
                            <w:r w:rsidRPr="00B66052">
                              <w:rPr>
                                <w:rFonts w:eastAsiaTheme="minorEastAsia" w:hint="eastAsia"/>
                                <w:sz w:val="22"/>
                                <w:szCs w:val="22"/>
                                <w:lang w:eastAsia="zh-CN"/>
                              </w:rPr>
                              <w:t>ge yield</w:t>
                            </w:r>
                            <w:r>
                              <w:rPr>
                                <w:rFonts w:eastAsiaTheme="minorEastAsia"/>
                                <w:sz w:val="22"/>
                                <w:szCs w:val="22"/>
                                <w:lang w:eastAsia="zh-CN"/>
                              </w:rPr>
                              <w:t>s, in</w:t>
                            </w:r>
                            <w:r w:rsidRPr="00B66052">
                              <w:rPr>
                                <w:rFonts w:eastAsiaTheme="minorEastAsia" w:hint="eastAsia"/>
                                <w:sz w:val="22"/>
                                <w:szCs w:val="22"/>
                                <w:lang w:eastAsia="zh-CN"/>
                              </w:rPr>
                              <w:t xml:space="preserve"> subsequent years.</w:t>
                            </w:r>
                            <w:r w:rsidRPr="00D51789">
                              <w:rPr>
                                <w:rFonts w:eastAsiaTheme="minorEastAsia" w:hint="eastAsia"/>
                                <w:sz w:val="22"/>
                                <w:szCs w:val="22"/>
                                <w:lang w:eastAsia="zh-CN"/>
                              </w:rPr>
                              <w:t xml:space="preserve"> </w:t>
                            </w:r>
                            <w:r>
                              <w:rPr>
                                <w:sz w:val="22"/>
                                <w:szCs w:val="22"/>
                              </w:rPr>
                              <w:t>I</w:t>
                            </w:r>
                            <w:r w:rsidRPr="00D51789">
                              <w:rPr>
                                <w:sz w:val="22"/>
                                <w:szCs w:val="22"/>
                              </w:rPr>
                              <w:t xml:space="preserve">ndividual </w:t>
                            </w:r>
                            <w:r>
                              <w:rPr>
                                <w:sz w:val="22"/>
                                <w:szCs w:val="22"/>
                              </w:rPr>
                              <w:t xml:space="preserve">benchmark </w:t>
                            </w:r>
                            <w:r w:rsidRPr="00D51789">
                              <w:rPr>
                                <w:sz w:val="22"/>
                                <w:szCs w:val="22"/>
                              </w:rPr>
                              <w:t>farm summaries, can be found at</w:t>
                            </w:r>
                            <w:r>
                              <w:rPr>
                                <w:sz w:val="22"/>
                                <w:szCs w:val="22"/>
                              </w:rPr>
                              <w:t>:</w:t>
                            </w:r>
                            <w:r w:rsidRPr="00D51789">
                              <w:rPr>
                                <w:sz w:val="22"/>
                                <w:szCs w:val="22"/>
                              </w:rPr>
                              <w:t xml:space="preserve"> </w:t>
                            </w:r>
                            <w:hyperlink r:id="rId8" w:history="1">
                              <w:r w:rsidRPr="00124FBA">
                                <w:rPr>
                                  <w:rStyle w:val="Hyperlink"/>
                                  <w:rFonts w:eastAsiaTheme="majorEastAsia"/>
                                  <w:sz w:val="22"/>
                                  <w:szCs w:val="22"/>
                                </w:rPr>
                                <w:t>https://canfax.ca/resources/cost-of-production/cop-results.html</w:t>
                              </w:r>
                            </w:hyperlink>
                            <w:r>
                              <w:rPr>
                                <w:sz w:val="22"/>
                                <w:szCs w:val="22"/>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341943" id="_x0000_t202" coordsize="21600,21600" o:spt="202" path="m,l,21600r21600,l21600,xe">
                <v:stroke joinstyle="miter"/>
                <v:path gradientshapeok="t" o:connecttype="rect"/>
              </v:shapetype>
              <v:shape id="_x0000_s1026" type="#_x0000_t202" style="position:absolute;margin-left:293.2pt;margin-top:40.2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" fillcolor="#dceaf7 [351]" strokecolor="white [3212]">
                <v:textbox style="mso-fit-shape-to-text:t">
                  <w:txbxContent>
                    <w:p w14:paraId="1C1C3EC1" w14:textId="77777777" w:rsidR="00756AEE" w:rsidRPr="00CE093D" w:rsidRDefault="00756AEE" w:rsidP="00756AEE">
                      <w:pPr>
                        <w:pStyle w:val="COPParagraph"/>
                        <w:rPr>
                          <w:b/>
                          <w:bCs/>
                          <w:sz w:val="22"/>
                          <w:szCs w:val="22"/>
                        </w:rPr>
                      </w:pPr>
                      <w:r w:rsidRPr="00CE093D">
                        <w:rPr>
                          <w:b/>
                          <w:bCs/>
                          <w:sz w:val="22"/>
                          <w:szCs w:val="22"/>
                        </w:rPr>
                        <w:t xml:space="preserve">What is the COP Network? </w:t>
                      </w:r>
                    </w:p>
                    <w:p w14:paraId="02A03E3F" w14:textId="72F76F06" w:rsidR="00756AEE" w:rsidRPr="00CE093D" w:rsidRDefault="00756AEE" w:rsidP="00756AEE">
                      <w:pPr>
                        <w:pStyle w:val="COPParagraph"/>
                        <w:jc w:val="left"/>
                        <w:rPr>
                          <w:rFonts w:eastAsiaTheme="minorEastAsia"/>
                          <w:sz w:val="22"/>
                          <w:szCs w:val="22"/>
                          <w:lang w:eastAsia="zh-CN"/>
                        </w:rPr>
                      </w:pPr>
                      <w:r w:rsidRPr="00D51789">
                        <w:rPr>
                          <w:sz w:val="22"/>
                          <w:szCs w:val="22"/>
                        </w:rPr>
                        <w:t xml:space="preserve">The Canadian Cow-calf Cost of Production Network (COP Network) </w:t>
                      </w:r>
                      <w:r>
                        <w:rPr>
                          <w:sz w:val="22"/>
                          <w:szCs w:val="22"/>
                        </w:rPr>
                        <w:t>u</w:t>
                      </w:r>
                      <w:r w:rsidRPr="00D51789">
                        <w:rPr>
                          <w:sz w:val="22"/>
                          <w:szCs w:val="22"/>
                        </w:rPr>
                        <w:t>s</w:t>
                      </w:r>
                      <w:r>
                        <w:rPr>
                          <w:sz w:val="22"/>
                          <w:szCs w:val="22"/>
                        </w:rPr>
                        <w:t>es</w:t>
                      </w:r>
                      <w:r w:rsidRPr="00D51789">
                        <w:rPr>
                          <w:sz w:val="22"/>
                          <w:szCs w:val="22"/>
                        </w:rPr>
                        <w:t xml:space="preserve"> standardized data collection </w:t>
                      </w:r>
                      <w:r>
                        <w:rPr>
                          <w:sz w:val="22"/>
                          <w:szCs w:val="22"/>
                        </w:rPr>
                        <w:t xml:space="preserve">which </w:t>
                      </w:r>
                      <w:r w:rsidRPr="00D51789">
                        <w:rPr>
                          <w:sz w:val="22"/>
                          <w:szCs w:val="22"/>
                        </w:rPr>
                        <w:t xml:space="preserve">allows for comparison both within and between provinces, </w:t>
                      </w:r>
                      <w:r>
                        <w:rPr>
                          <w:sz w:val="22"/>
                          <w:szCs w:val="22"/>
                        </w:rPr>
                        <w:t>and internationally</w:t>
                      </w:r>
                      <w:r w:rsidRPr="00D51789">
                        <w:rPr>
                          <w:sz w:val="22"/>
                          <w:szCs w:val="22"/>
                        </w:rPr>
                        <w:t xml:space="preserve">. </w:t>
                      </w:r>
                      <w:r w:rsidRPr="00D51789">
                        <w:rPr>
                          <w:rFonts w:eastAsiaTheme="minorEastAsia" w:hint="eastAsia"/>
                          <w:sz w:val="22"/>
                          <w:szCs w:val="22"/>
                          <w:lang w:eastAsia="zh-CN"/>
                        </w:rPr>
                        <w:t xml:space="preserve">Since </w:t>
                      </w:r>
                      <w:r w:rsidRPr="00D51789">
                        <w:rPr>
                          <w:rFonts w:eastAsiaTheme="minorEastAsia"/>
                          <w:sz w:val="22"/>
                          <w:szCs w:val="22"/>
                          <w:lang w:eastAsia="zh-CN"/>
                        </w:rPr>
                        <w:t>launch</w:t>
                      </w:r>
                      <w:r>
                        <w:rPr>
                          <w:rFonts w:eastAsiaTheme="minorEastAsia"/>
                          <w:sz w:val="22"/>
                          <w:szCs w:val="22"/>
                          <w:lang w:eastAsia="zh-CN"/>
                        </w:rPr>
                        <w:t>ing</w:t>
                      </w:r>
                      <w:r w:rsidRPr="00D51789">
                        <w:rPr>
                          <w:rFonts w:eastAsiaTheme="minorEastAsia" w:hint="eastAsia"/>
                          <w:sz w:val="22"/>
                          <w:szCs w:val="22"/>
                          <w:lang w:eastAsia="zh-CN"/>
                        </w:rPr>
                        <w:t xml:space="preserve"> in 2021, the COP Network has collected data from over 2</w:t>
                      </w:r>
                      <w:r>
                        <w:rPr>
                          <w:rFonts w:eastAsiaTheme="minorEastAsia"/>
                          <w:sz w:val="22"/>
                          <w:szCs w:val="22"/>
                          <w:lang w:eastAsia="zh-CN"/>
                        </w:rPr>
                        <w:t>3</w:t>
                      </w:r>
                      <w:r w:rsidRPr="00D51789">
                        <w:rPr>
                          <w:rFonts w:eastAsiaTheme="minorEastAsia" w:hint="eastAsia"/>
                          <w:sz w:val="22"/>
                          <w:szCs w:val="22"/>
                          <w:lang w:eastAsia="zh-CN"/>
                        </w:rPr>
                        <w:t xml:space="preserve">5 producers </w:t>
                      </w:r>
                      <w:r>
                        <w:rPr>
                          <w:rFonts w:eastAsiaTheme="minorEastAsia"/>
                          <w:sz w:val="22"/>
                          <w:szCs w:val="22"/>
                          <w:lang w:eastAsia="zh-CN"/>
                        </w:rPr>
                        <w:t>contributing to 6</w:t>
                      </w:r>
                      <w:r w:rsidR="00484EE3">
                        <w:rPr>
                          <w:rFonts w:eastAsiaTheme="minorEastAsia"/>
                          <w:sz w:val="22"/>
                          <w:szCs w:val="22"/>
                          <w:lang w:eastAsia="zh-CN"/>
                        </w:rPr>
                        <w:t>4</w:t>
                      </w:r>
                      <w:r w:rsidRPr="00D51789">
                        <w:rPr>
                          <w:rFonts w:eastAsiaTheme="minorEastAsia" w:hint="eastAsia"/>
                          <w:sz w:val="22"/>
                          <w:szCs w:val="22"/>
                          <w:lang w:eastAsia="zh-CN"/>
                        </w:rPr>
                        <w:t xml:space="preserve"> </w:t>
                      </w:r>
                      <w:r>
                        <w:rPr>
                          <w:rFonts w:eastAsiaTheme="minorEastAsia"/>
                          <w:sz w:val="22"/>
                          <w:szCs w:val="22"/>
                          <w:lang w:eastAsia="zh-CN"/>
                        </w:rPr>
                        <w:t xml:space="preserve">cow-calf </w:t>
                      </w:r>
                      <w:r w:rsidRPr="00D51789">
                        <w:rPr>
                          <w:rFonts w:eastAsiaTheme="minorEastAsia" w:hint="eastAsia"/>
                          <w:sz w:val="22"/>
                          <w:szCs w:val="22"/>
                          <w:lang w:eastAsia="zh-CN"/>
                        </w:rPr>
                        <w:t xml:space="preserve">benchmark farms that represent various </w:t>
                      </w:r>
                      <w:r w:rsidR="00896C63">
                        <w:rPr>
                          <w:rFonts w:eastAsiaTheme="minorEastAsia"/>
                          <w:sz w:val="22"/>
                          <w:szCs w:val="22"/>
                          <w:lang w:eastAsia="zh-CN"/>
                        </w:rPr>
                        <w:t>management</w:t>
                      </w:r>
                      <w:r w:rsidRPr="00D51789">
                        <w:rPr>
                          <w:rFonts w:eastAsiaTheme="minorEastAsia" w:hint="eastAsia"/>
                          <w:sz w:val="22"/>
                          <w:szCs w:val="22"/>
                          <w:lang w:eastAsia="zh-CN"/>
                        </w:rPr>
                        <w:t xml:space="preserve"> systems. Each benchmark is based on data from </w:t>
                      </w:r>
                      <w:r>
                        <w:rPr>
                          <w:rFonts w:eastAsiaTheme="minorEastAsia"/>
                          <w:sz w:val="22"/>
                          <w:szCs w:val="22"/>
                          <w:lang w:eastAsia="zh-CN"/>
                        </w:rPr>
                        <w:t>3-7</w:t>
                      </w:r>
                      <w:r w:rsidRPr="00D51789">
                        <w:rPr>
                          <w:rFonts w:eastAsiaTheme="minorEastAsia" w:hint="eastAsia"/>
                          <w:sz w:val="22"/>
                          <w:szCs w:val="22"/>
                          <w:lang w:eastAsia="zh-CN"/>
                        </w:rPr>
                        <w:t xml:space="preserve"> producers. </w:t>
                      </w:r>
                      <w:r w:rsidRPr="00B66052">
                        <w:rPr>
                          <w:rFonts w:eastAsiaTheme="minorEastAsia" w:hint="eastAsia"/>
                          <w:sz w:val="22"/>
                          <w:szCs w:val="22"/>
                          <w:lang w:val="en-CA" w:eastAsia="zh-CN"/>
                        </w:rPr>
                        <w:t>Data collect</w:t>
                      </w:r>
                      <w:r>
                        <w:rPr>
                          <w:rFonts w:eastAsiaTheme="minorEastAsia"/>
                          <w:sz w:val="22"/>
                          <w:szCs w:val="22"/>
                          <w:lang w:val="en-CA" w:eastAsia="zh-CN"/>
                        </w:rPr>
                        <w:t xml:space="preserve">ion occurs every 5 years with </w:t>
                      </w:r>
                      <w:r w:rsidRPr="00B66052">
                        <w:rPr>
                          <w:rFonts w:eastAsiaTheme="minorEastAsia"/>
                          <w:sz w:val="22"/>
                          <w:szCs w:val="22"/>
                          <w:lang w:eastAsia="zh-CN"/>
                        </w:rPr>
                        <w:t>annual</w:t>
                      </w:r>
                      <w:r w:rsidRPr="00B66052">
                        <w:rPr>
                          <w:rFonts w:eastAsiaTheme="minorEastAsia" w:hint="eastAsia"/>
                          <w:sz w:val="22"/>
                          <w:szCs w:val="22"/>
                          <w:lang w:eastAsia="zh-CN"/>
                        </w:rPr>
                        <w:t xml:space="preserve"> indexing </w:t>
                      </w:r>
                      <w:r>
                        <w:rPr>
                          <w:rFonts w:eastAsiaTheme="minorEastAsia"/>
                          <w:sz w:val="22"/>
                          <w:szCs w:val="22"/>
                          <w:lang w:eastAsia="zh-CN"/>
                        </w:rPr>
                        <w:t xml:space="preserve">of input and output prices, </w:t>
                      </w:r>
                      <w:r w:rsidRPr="00B66052">
                        <w:rPr>
                          <w:rFonts w:eastAsiaTheme="minorEastAsia" w:hint="eastAsia"/>
                          <w:sz w:val="22"/>
                          <w:szCs w:val="22"/>
                          <w:lang w:eastAsia="zh-CN"/>
                        </w:rPr>
                        <w:t xml:space="preserve">as well as crop and </w:t>
                      </w:r>
                      <w:r w:rsidRPr="00B66052">
                        <w:rPr>
                          <w:rFonts w:eastAsiaTheme="minorEastAsia"/>
                          <w:sz w:val="22"/>
                          <w:szCs w:val="22"/>
                          <w:lang w:eastAsia="zh-CN"/>
                        </w:rPr>
                        <w:t>fora</w:t>
                      </w:r>
                      <w:r w:rsidRPr="00B66052">
                        <w:rPr>
                          <w:rFonts w:eastAsiaTheme="minorEastAsia" w:hint="eastAsia"/>
                          <w:sz w:val="22"/>
                          <w:szCs w:val="22"/>
                          <w:lang w:eastAsia="zh-CN"/>
                        </w:rPr>
                        <w:t>ge yield</w:t>
                      </w:r>
                      <w:r>
                        <w:rPr>
                          <w:rFonts w:eastAsiaTheme="minorEastAsia"/>
                          <w:sz w:val="22"/>
                          <w:szCs w:val="22"/>
                          <w:lang w:eastAsia="zh-CN"/>
                        </w:rPr>
                        <w:t>s, in</w:t>
                      </w:r>
                      <w:r w:rsidRPr="00B66052">
                        <w:rPr>
                          <w:rFonts w:eastAsiaTheme="minorEastAsia" w:hint="eastAsia"/>
                          <w:sz w:val="22"/>
                          <w:szCs w:val="22"/>
                          <w:lang w:eastAsia="zh-CN"/>
                        </w:rPr>
                        <w:t xml:space="preserve"> subsequent years.</w:t>
                      </w:r>
                      <w:r w:rsidRPr="00D51789">
                        <w:rPr>
                          <w:rFonts w:eastAsiaTheme="minorEastAsia" w:hint="eastAsia"/>
                          <w:sz w:val="22"/>
                          <w:szCs w:val="22"/>
                          <w:lang w:eastAsia="zh-CN"/>
                        </w:rPr>
                        <w:t xml:space="preserve"> </w:t>
                      </w:r>
                      <w:r>
                        <w:rPr>
                          <w:sz w:val="22"/>
                          <w:szCs w:val="22"/>
                        </w:rPr>
                        <w:t>I</w:t>
                      </w:r>
                      <w:r w:rsidRPr="00D51789">
                        <w:rPr>
                          <w:sz w:val="22"/>
                          <w:szCs w:val="22"/>
                        </w:rPr>
                        <w:t xml:space="preserve">ndividual </w:t>
                      </w:r>
                      <w:r>
                        <w:rPr>
                          <w:sz w:val="22"/>
                          <w:szCs w:val="22"/>
                        </w:rPr>
                        <w:t xml:space="preserve">benchmark </w:t>
                      </w:r>
                      <w:r w:rsidRPr="00D51789">
                        <w:rPr>
                          <w:sz w:val="22"/>
                          <w:szCs w:val="22"/>
                        </w:rPr>
                        <w:t>farm summaries, can be found at</w:t>
                      </w:r>
                      <w:r>
                        <w:rPr>
                          <w:sz w:val="22"/>
                          <w:szCs w:val="22"/>
                        </w:rPr>
                        <w:t>:</w:t>
                      </w:r>
                      <w:r w:rsidRPr="00D51789">
                        <w:rPr>
                          <w:sz w:val="22"/>
                          <w:szCs w:val="22"/>
                        </w:rPr>
                        <w:t xml:space="preserve"> </w:t>
                      </w:r>
                      <w:hyperlink r:id="rId9" w:history="1">
                        <w:r w:rsidRPr="00124FBA">
                          <w:rPr>
                            <w:rStyle w:val="Hyperlink"/>
                            <w:rFonts w:eastAsiaTheme="majorEastAsia"/>
                            <w:sz w:val="22"/>
                            <w:szCs w:val="22"/>
                          </w:rPr>
                          <w:t>https://canfax.ca/resources/cost-of-production/cop-results.html</w:t>
                        </w:r>
                      </w:hyperlink>
                      <w:r>
                        <w:rPr>
                          <w:sz w:val="22"/>
                          <w:szCs w:val="22"/>
                        </w:rPr>
                        <w:t xml:space="preserve"> </w:t>
                      </w:r>
                    </w:p>
                  </w:txbxContent>
                </v:textbox>
                <w10:wrap type="square" anchorx="margin"/>
              </v:shape>
            </w:pict>
          </mc:Fallback>
        </mc:AlternateContent>
      </w:r>
      <w:r w:rsidR="002B3672" w:rsidRPr="000E0E2F">
        <w:rPr>
          <w:rFonts w:ascii="Adelle" w:eastAsiaTheme="minorHAnsi" w:hAnsi="Adelle" w:cstheme="minorBidi"/>
          <w:b/>
          <w:color w:val="E97132" w:themeColor="accent2"/>
          <w:sz w:val="44"/>
          <w:szCs w:val="24"/>
          <w:lang w:val="en-US"/>
        </w:rPr>
        <w:t>Competitive</w:t>
      </w:r>
      <w:r w:rsidR="00A877B1" w:rsidRPr="000E0E2F">
        <w:rPr>
          <w:rFonts w:ascii="Adelle" w:eastAsiaTheme="minorHAnsi" w:hAnsi="Adelle" w:cstheme="minorBidi"/>
          <w:b/>
          <w:color w:val="E97132" w:themeColor="accent2"/>
          <w:sz w:val="44"/>
          <w:szCs w:val="24"/>
          <w:lang w:val="en-US"/>
        </w:rPr>
        <w:t xml:space="preserve"> Feed </w:t>
      </w:r>
      <w:r w:rsidR="00293A15">
        <w:rPr>
          <w:rFonts w:ascii="Adelle" w:eastAsiaTheme="minorHAnsi" w:hAnsi="Adelle" w:cstheme="minorBidi"/>
          <w:b/>
          <w:color w:val="E97132" w:themeColor="accent2"/>
          <w:sz w:val="44"/>
          <w:szCs w:val="24"/>
          <w:lang w:val="en-US"/>
        </w:rPr>
        <w:t>C</w:t>
      </w:r>
      <w:r w:rsidR="00A877B1" w:rsidRPr="000E0E2F">
        <w:rPr>
          <w:rFonts w:ascii="Adelle" w:eastAsiaTheme="minorHAnsi" w:hAnsi="Adelle" w:cstheme="minorBidi"/>
          <w:b/>
          <w:color w:val="E97132" w:themeColor="accent2"/>
          <w:sz w:val="44"/>
          <w:szCs w:val="24"/>
          <w:lang w:val="en-US"/>
        </w:rPr>
        <w:t xml:space="preserve">osts and </w:t>
      </w:r>
      <w:r w:rsidR="00293A15">
        <w:rPr>
          <w:rFonts w:ascii="Adelle" w:eastAsiaTheme="minorHAnsi" w:hAnsi="Adelle" w:cstheme="minorBidi"/>
          <w:b/>
          <w:color w:val="E97132" w:themeColor="accent2"/>
          <w:sz w:val="44"/>
          <w:szCs w:val="24"/>
          <w:lang w:val="en-US"/>
        </w:rPr>
        <w:t>W</w:t>
      </w:r>
      <w:r w:rsidR="00A877B1" w:rsidRPr="000E0E2F">
        <w:rPr>
          <w:rFonts w:ascii="Adelle" w:eastAsiaTheme="minorHAnsi" w:hAnsi="Adelle" w:cstheme="minorBidi"/>
          <w:b/>
          <w:color w:val="E97132" w:themeColor="accent2"/>
          <w:sz w:val="44"/>
          <w:szCs w:val="24"/>
          <w:lang w:val="en-US"/>
        </w:rPr>
        <w:t>inter-</w:t>
      </w:r>
      <w:r w:rsidR="00293A15">
        <w:rPr>
          <w:rFonts w:ascii="Adelle" w:eastAsiaTheme="minorHAnsi" w:hAnsi="Adelle" w:cstheme="minorBidi"/>
          <w:b/>
          <w:color w:val="E97132" w:themeColor="accent2"/>
          <w:sz w:val="44"/>
          <w:szCs w:val="24"/>
          <w:lang w:val="en-US"/>
        </w:rPr>
        <w:t>F</w:t>
      </w:r>
      <w:r w:rsidR="00A877B1" w:rsidRPr="000E0E2F">
        <w:rPr>
          <w:rFonts w:ascii="Adelle" w:eastAsiaTheme="minorHAnsi" w:hAnsi="Adelle" w:cstheme="minorBidi"/>
          <w:b/>
          <w:color w:val="E97132" w:themeColor="accent2"/>
          <w:sz w:val="44"/>
          <w:szCs w:val="24"/>
          <w:lang w:val="en-US"/>
        </w:rPr>
        <w:t xml:space="preserve">eeding </w:t>
      </w:r>
      <w:r w:rsidR="00293A15">
        <w:rPr>
          <w:rFonts w:ascii="Adelle" w:eastAsiaTheme="minorHAnsi" w:hAnsi="Adelle" w:cstheme="minorBidi"/>
          <w:b/>
          <w:color w:val="E97132" w:themeColor="accent2"/>
          <w:sz w:val="44"/>
          <w:szCs w:val="24"/>
          <w:lang w:val="en-US"/>
        </w:rPr>
        <w:t>S</w:t>
      </w:r>
      <w:r w:rsidR="00A877B1" w:rsidRPr="000E0E2F">
        <w:rPr>
          <w:rFonts w:ascii="Adelle" w:eastAsiaTheme="minorHAnsi" w:hAnsi="Adelle" w:cstheme="minorBidi"/>
          <w:b/>
          <w:color w:val="E97132" w:themeColor="accent2"/>
          <w:sz w:val="44"/>
          <w:szCs w:val="24"/>
          <w:lang w:val="en-US"/>
        </w:rPr>
        <w:t>ystems</w:t>
      </w:r>
      <w:r w:rsidR="002B3672" w:rsidRPr="000E0E2F">
        <w:rPr>
          <w:rFonts w:ascii="Adelle" w:eastAsiaTheme="minorHAnsi" w:hAnsi="Adelle" w:cstheme="minorBidi"/>
          <w:b/>
          <w:color w:val="E97132" w:themeColor="accent2"/>
          <w:sz w:val="44"/>
          <w:szCs w:val="24"/>
          <w:lang w:val="en-US"/>
        </w:rPr>
        <w:t>:</w:t>
      </w:r>
      <w:r w:rsidR="002B3672" w:rsidRPr="002B3672">
        <w:rPr>
          <w:rFonts w:ascii="Adelle" w:eastAsia="Times New Roman" w:hAnsi="Adelle" w:cs="Times New Roman"/>
          <w:b/>
          <w:i/>
          <w:iCs/>
          <w:color w:val="E97132" w:themeColor="accent2"/>
          <w:lang w:val="en-US"/>
        </w:rPr>
        <w:t xml:space="preserve"> 2024 benchmarks and trends</w:t>
      </w:r>
    </w:p>
    <w:p w14:paraId="13FD0602" w14:textId="78014B6F" w:rsidR="002B3672" w:rsidRDefault="00A877B1" w:rsidP="00A877B1">
      <w:pPr>
        <w:pStyle w:val="COPParagraph"/>
        <w:rPr>
          <w:sz w:val="22"/>
          <w:szCs w:val="22"/>
        </w:rPr>
      </w:pPr>
      <w:r w:rsidRPr="00D51789">
        <w:rPr>
          <w:sz w:val="22"/>
          <w:szCs w:val="22"/>
        </w:rPr>
        <w:t xml:space="preserve">A large proportion of cow-calf producers’ total cost of production is associated with winter feed </w:t>
      </w:r>
      <w:r w:rsidRPr="00DE74E1">
        <w:rPr>
          <w:sz w:val="22"/>
          <w:szCs w:val="22"/>
        </w:rPr>
        <w:t xml:space="preserve">costs. </w:t>
      </w:r>
      <w:r w:rsidR="00DE74E1" w:rsidRPr="00DE74E1">
        <w:rPr>
          <w:sz w:val="22"/>
          <w:szCs w:val="22"/>
        </w:rPr>
        <w:t>In 2024, approximate feed costs</w:t>
      </w:r>
      <w:r w:rsidR="00E225BE">
        <w:rPr>
          <w:sz w:val="22"/>
          <w:szCs w:val="22"/>
        </w:rPr>
        <w:t xml:space="preserve"> (of purchased and homegrown feed)</w:t>
      </w:r>
      <w:r w:rsidR="00DE74E1" w:rsidRPr="00DE74E1">
        <w:rPr>
          <w:sz w:val="22"/>
          <w:szCs w:val="22"/>
        </w:rPr>
        <w:t xml:space="preserve"> made up </w:t>
      </w:r>
      <w:r w:rsidR="000E0E2F" w:rsidRPr="00DE74E1">
        <w:rPr>
          <w:sz w:val="22"/>
          <w:szCs w:val="22"/>
        </w:rPr>
        <w:t xml:space="preserve">63% of cash costs </w:t>
      </w:r>
      <w:r w:rsidR="000E0E2F">
        <w:rPr>
          <w:sz w:val="22"/>
          <w:szCs w:val="22"/>
        </w:rPr>
        <w:t xml:space="preserve">and </w:t>
      </w:r>
      <w:r w:rsidR="00DE74E1" w:rsidRPr="00DE74E1">
        <w:rPr>
          <w:sz w:val="22"/>
          <w:szCs w:val="22"/>
        </w:rPr>
        <w:t>37% of total costs (cash</w:t>
      </w:r>
      <w:r w:rsidR="00DE74E1">
        <w:rPr>
          <w:sz w:val="22"/>
          <w:szCs w:val="22"/>
        </w:rPr>
        <w:t>,</w:t>
      </w:r>
      <w:r w:rsidR="00DE74E1" w:rsidRPr="00DE74E1">
        <w:rPr>
          <w:sz w:val="22"/>
          <w:szCs w:val="22"/>
        </w:rPr>
        <w:t xml:space="preserve"> depreciation </w:t>
      </w:r>
      <w:r w:rsidR="00DE74E1">
        <w:rPr>
          <w:sz w:val="22"/>
          <w:szCs w:val="22"/>
        </w:rPr>
        <w:t>and</w:t>
      </w:r>
      <w:r w:rsidR="00DE74E1" w:rsidRPr="00DE74E1">
        <w:rPr>
          <w:sz w:val="22"/>
          <w:szCs w:val="22"/>
        </w:rPr>
        <w:t xml:space="preserve"> opportunity costs).</w:t>
      </w:r>
      <w:r w:rsidR="00DE74E1">
        <w:rPr>
          <w:sz w:val="22"/>
          <w:szCs w:val="22"/>
        </w:rPr>
        <w:t xml:space="preserve"> This is up from </w:t>
      </w:r>
      <w:r w:rsidR="000E0E2F">
        <w:rPr>
          <w:sz w:val="22"/>
          <w:szCs w:val="22"/>
        </w:rPr>
        <w:t xml:space="preserve">56% and </w:t>
      </w:r>
      <w:r w:rsidR="00DE74E1">
        <w:rPr>
          <w:sz w:val="22"/>
          <w:szCs w:val="22"/>
        </w:rPr>
        <w:t>33%</w:t>
      </w:r>
      <w:r w:rsidR="008A7286">
        <w:rPr>
          <w:sz w:val="22"/>
          <w:szCs w:val="22"/>
        </w:rPr>
        <w:t>,</w:t>
      </w:r>
      <w:r w:rsidR="00DE74E1">
        <w:rPr>
          <w:sz w:val="22"/>
          <w:szCs w:val="22"/>
        </w:rPr>
        <w:t xml:space="preserve"> respectively</w:t>
      </w:r>
      <w:r w:rsidR="00D76E4C">
        <w:rPr>
          <w:sz w:val="22"/>
          <w:szCs w:val="22"/>
        </w:rPr>
        <w:t>,</w:t>
      </w:r>
      <w:r w:rsidR="00DE74E1">
        <w:rPr>
          <w:sz w:val="22"/>
          <w:szCs w:val="22"/>
        </w:rPr>
        <w:t xml:space="preserve"> in 2020 as feed costs have driven cow-calf cost of production over the last five years. </w:t>
      </w:r>
      <w:r w:rsidR="00423B7A">
        <w:rPr>
          <w:sz w:val="22"/>
          <w:szCs w:val="22"/>
        </w:rPr>
        <w:t>T</w:t>
      </w:r>
      <w:r w:rsidR="00AA3320">
        <w:rPr>
          <w:sz w:val="22"/>
          <w:szCs w:val="22"/>
        </w:rPr>
        <w:t>ypically, t</w:t>
      </w:r>
      <w:r w:rsidR="00EF6A88">
        <w:rPr>
          <w:sz w:val="22"/>
          <w:szCs w:val="22"/>
        </w:rPr>
        <w:t xml:space="preserve">o be a competitive cow-calf producer you need to be a competitive producer of winter feed. </w:t>
      </w:r>
    </w:p>
    <w:p w14:paraId="779B7222" w14:textId="082178C5" w:rsidR="002B3672" w:rsidRPr="00D51789" w:rsidRDefault="00EF6A88" w:rsidP="00A877B1">
      <w:pPr>
        <w:pStyle w:val="COPParagraph"/>
        <w:rPr>
          <w:sz w:val="22"/>
          <w:szCs w:val="22"/>
        </w:rPr>
      </w:pPr>
      <w:r>
        <w:rPr>
          <w:sz w:val="22"/>
          <w:szCs w:val="22"/>
        </w:rPr>
        <w:t xml:space="preserve">Within the </w:t>
      </w:r>
      <w:r w:rsidRPr="00EB42C7">
        <w:rPr>
          <w:sz w:val="22"/>
          <w:szCs w:val="22"/>
        </w:rPr>
        <w:t xml:space="preserve">COP </w:t>
      </w:r>
      <w:r w:rsidR="00D8294A">
        <w:rPr>
          <w:sz w:val="22"/>
          <w:szCs w:val="22"/>
        </w:rPr>
        <w:t>N</w:t>
      </w:r>
      <w:r w:rsidRPr="00EB42C7">
        <w:rPr>
          <w:sz w:val="22"/>
          <w:szCs w:val="22"/>
        </w:rPr>
        <w:t>etwork</w:t>
      </w:r>
      <w:r w:rsidR="00D8294A">
        <w:rPr>
          <w:sz w:val="22"/>
          <w:szCs w:val="22"/>
        </w:rPr>
        <w:t>,</w:t>
      </w:r>
      <w:r w:rsidRPr="00EB42C7">
        <w:rPr>
          <w:sz w:val="22"/>
          <w:szCs w:val="22"/>
        </w:rPr>
        <w:t xml:space="preserve"> </w:t>
      </w:r>
      <w:r w:rsidR="00EB42C7" w:rsidRPr="00EB42C7">
        <w:rPr>
          <w:sz w:val="22"/>
          <w:szCs w:val="22"/>
        </w:rPr>
        <w:t xml:space="preserve">on average </w:t>
      </w:r>
      <w:r w:rsidRPr="00EB42C7">
        <w:rPr>
          <w:sz w:val="22"/>
          <w:szCs w:val="22"/>
        </w:rPr>
        <w:t xml:space="preserve">only </w:t>
      </w:r>
      <w:r w:rsidR="00EB42C7" w:rsidRPr="00EB42C7">
        <w:rPr>
          <w:sz w:val="22"/>
          <w:szCs w:val="22"/>
        </w:rPr>
        <w:t>11</w:t>
      </w:r>
      <w:r w:rsidRPr="00EB42C7">
        <w:rPr>
          <w:sz w:val="22"/>
          <w:szCs w:val="22"/>
        </w:rPr>
        <w:t xml:space="preserve">% of </w:t>
      </w:r>
      <w:r w:rsidR="00EB42C7" w:rsidRPr="00EB42C7">
        <w:rPr>
          <w:sz w:val="22"/>
          <w:szCs w:val="22"/>
        </w:rPr>
        <w:t>feed is purchased</w:t>
      </w:r>
      <w:r w:rsidR="00D07EEB">
        <w:rPr>
          <w:sz w:val="22"/>
          <w:szCs w:val="22"/>
        </w:rPr>
        <w:t xml:space="preserve"> w</w:t>
      </w:r>
      <w:r w:rsidR="00EB42C7" w:rsidRPr="00EB42C7">
        <w:rPr>
          <w:sz w:val="22"/>
          <w:szCs w:val="22"/>
        </w:rPr>
        <w:t xml:space="preserve">ith 18 </w:t>
      </w:r>
      <w:r w:rsidRPr="00EB42C7">
        <w:rPr>
          <w:sz w:val="22"/>
          <w:szCs w:val="22"/>
        </w:rPr>
        <w:t>benchmark farms purchas</w:t>
      </w:r>
      <w:r w:rsidR="00EB42C7" w:rsidRPr="00EB42C7">
        <w:rPr>
          <w:sz w:val="22"/>
          <w:szCs w:val="22"/>
        </w:rPr>
        <w:t>ing</w:t>
      </w:r>
      <w:r w:rsidRPr="00EB42C7">
        <w:rPr>
          <w:sz w:val="22"/>
          <w:szCs w:val="22"/>
        </w:rPr>
        <w:t xml:space="preserve"> </w:t>
      </w:r>
      <w:r w:rsidR="00EB42C7" w:rsidRPr="00EB42C7">
        <w:rPr>
          <w:sz w:val="22"/>
          <w:szCs w:val="22"/>
        </w:rPr>
        <w:t xml:space="preserve">more than 5% of their </w:t>
      </w:r>
      <w:r w:rsidRPr="00EB42C7">
        <w:rPr>
          <w:sz w:val="22"/>
          <w:szCs w:val="22"/>
        </w:rPr>
        <w:t>feed.</w:t>
      </w:r>
      <w:r>
        <w:rPr>
          <w:sz w:val="22"/>
          <w:szCs w:val="22"/>
        </w:rPr>
        <w:t xml:space="preserve"> These are typically </w:t>
      </w:r>
      <w:r w:rsidR="002B3672">
        <w:rPr>
          <w:sz w:val="22"/>
          <w:szCs w:val="22"/>
        </w:rPr>
        <w:t>i</w:t>
      </w:r>
      <w:r>
        <w:rPr>
          <w:sz w:val="22"/>
          <w:szCs w:val="22"/>
        </w:rPr>
        <w:t xml:space="preserve">n regions with surplus feed production. </w:t>
      </w:r>
      <w:r w:rsidR="00A02BA2">
        <w:rPr>
          <w:sz w:val="22"/>
          <w:szCs w:val="22"/>
        </w:rPr>
        <w:t>However, in g</w:t>
      </w:r>
      <w:r w:rsidR="00A02BA2" w:rsidRPr="00BF2D2D">
        <w:rPr>
          <w:sz w:val="22"/>
          <w:szCs w:val="22"/>
          <w:lang w:val="en-CA"/>
        </w:rPr>
        <w:t>eneral farms with a higher proportion of purchased feed tend to have higher feed costs.</w:t>
      </w:r>
      <w:r w:rsidR="00A02BA2">
        <w:rPr>
          <w:sz w:val="22"/>
          <w:szCs w:val="22"/>
          <w:lang w:val="en-CA"/>
        </w:rPr>
        <w:t xml:space="preserve"> </w:t>
      </w:r>
      <w:r w:rsidR="002B3672">
        <w:rPr>
          <w:sz w:val="22"/>
          <w:szCs w:val="22"/>
        </w:rPr>
        <w:t xml:space="preserve">Risks associated with a high reliance on purchased </w:t>
      </w:r>
      <w:r w:rsidR="002C1445">
        <w:rPr>
          <w:sz w:val="22"/>
          <w:szCs w:val="22"/>
        </w:rPr>
        <w:t>feed</w:t>
      </w:r>
      <w:r w:rsidR="002B3672">
        <w:rPr>
          <w:sz w:val="22"/>
          <w:szCs w:val="22"/>
        </w:rPr>
        <w:t xml:space="preserve"> </w:t>
      </w:r>
      <w:r w:rsidR="00284D45">
        <w:rPr>
          <w:sz w:val="22"/>
          <w:szCs w:val="22"/>
        </w:rPr>
        <w:t>include</w:t>
      </w:r>
      <w:r w:rsidR="002B3672">
        <w:rPr>
          <w:sz w:val="22"/>
          <w:szCs w:val="22"/>
        </w:rPr>
        <w:t xml:space="preserve"> cash flow in drought years, when feed costs surge. This makes the cost competitiveness of homegrown feed a key differentiator</w:t>
      </w:r>
      <w:r w:rsidR="000E0E2F">
        <w:rPr>
          <w:sz w:val="22"/>
          <w:szCs w:val="22"/>
        </w:rPr>
        <w:t xml:space="preserve"> between profit and loss</w:t>
      </w:r>
      <w:r w:rsidR="002B3672">
        <w:rPr>
          <w:sz w:val="22"/>
          <w:szCs w:val="22"/>
        </w:rPr>
        <w:t>.</w:t>
      </w:r>
    </w:p>
    <w:p w14:paraId="3A4204B4" w14:textId="77777777" w:rsidR="002B3672" w:rsidRPr="00207711" w:rsidRDefault="002B3672" w:rsidP="00207711">
      <w:pPr>
        <w:pStyle w:val="Heading1"/>
      </w:pPr>
      <w:r w:rsidRPr="00207711">
        <w:t>2024 Benchmarks</w:t>
      </w:r>
    </w:p>
    <w:p w14:paraId="7C392B0B" w14:textId="2FE85F2B" w:rsidR="000E0E2F" w:rsidRDefault="00A877B1" w:rsidP="00A877B1">
      <w:pPr>
        <w:pStyle w:val="COPParagraph"/>
        <w:rPr>
          <w:sz w:val="22"/>
          <w:szCs w:val="22"/>
        </w:rPr>
      </w:pPr>
      <w:r w:rsidRPr="00D51789">
        <w:rPr>
          <w:sz w:val="22"/>
          <w:szCs w:val="22"/>
        </w:rPr>
        <w:t xml:space="preserve">When machinery cost and fuel are </w:t>
      </w:r>
      <w:r w:rsidR="00E225BE" w:rsidRPr="00D51789">
        <w:rPr>
          <w:sz w:val="22"/>
          <w:szCs w:val="22"/>
        </w:rPr>
        <w:t>considered</w:t>
      </w:r>
      <w:r w:rsidRPr="00D51789">
        <w:rPr>
          <w:sz w:val="22"/>
          <w:szCs w:val="22"/>
        </w:rPr>
        <w:t xml:space="preserve">, the average </w:t>
      </w:r>
      <w:r w:rsidRPr="002B3672">
        <w:rPr>
          <w:b/>
          <w:bCs/>
          <w:i/>
          <w:iCs/>
          <w:sz w:val="22"/>
          <w:szCs w:val="22"/>
        </w:rPr>
        <w:t>approximate feed cost</w:t>
      </w:r>
      <w:r w:rsidR="00484EE3">
        <w:rPr>
          <w:rStyle w:val="FootnoteReference"/>
          <w:sz w:val="22"/>
          <w:szCs w:val="22"/>
        </w:rPr>
        <w:footnoteReference w:id="1"/>
      </w:r>
      <w:r w:rsidRPr="00D51789">
        <w:rPr>
          <w:sz w:val="22"/>
          <w:szCs w:val="22"/>
        </w:rPr>
        <w:t xml:space="preserve"> </w:t>
      </w:r>
      <w:r w:rsidR="000E0E2F">
        <w:rPr>
          <w:sz w:val="22"/>
          <w:szCs w:val="22"/>
        </w:rPr>
        <w:t>was</w:t>
      </w:r>
      <w:r w:rsidRPr="00D51789">
        <w:rPr>
          <w:sz w:val="22"/>
          <w:szCs w:val="22"/>
        </w:rPr>
        <w:t xml:space="preserve"> $</w:t>
      </w:r>
      <w:r>
        <w:rPr>
          <w:sz w:val="22"/>
          <w:szCs w:val="22"/>
        </w:rPr>
        <w:t>690</w:t>
      </w:r>
      <w:r w:rsidRPr="00D51789">
        <w:rPr>
          <w:sz w:val="22"/>
          <w:szCs w:val="22"/>
        </w:rPr>
        <w:t>/cow</w:t>
      </w:r>
      <w:r w:rsidR="00DE74E1">
        <w:rPr>
          <w:sz w:val="22"/>
          <w:szCs w:val="22"/>
        </w:rPr>
        <w:t xml:space="preserve"> in 2024</w:t>
      </w:r>
      <w:r>
        <w:rPr>
          <w:sz w:val="22"/>
          <w:szCs w:val="22"/>
        </w:rPr>
        <w:t xml:space="preserve">, up </w:t>
      </w:r>
      <w:r w:rsidR="00484EE3">
        <w:rPr>
          <w:sz w:val="22"/>
          <w:szCs w:val="22"/>
        </w:rPr>
        <w:t>5%</w:t>
      </w:r>
      <w:r w:rsidRPr="00D51789">
        <w:rPr>
          <w:sz w:val="22"/>
          <w:szCs w:val="22"/>
        </w:rPr>
        <w:t xml:space="preserve"> from 202</w:t>
      </w:r>
      <w:r>
        <w:rPr>
          <w:sz w:val="22"/>
          <w:szCs w:val="22"/>
        </w:rPr>
        <w:t>3</w:t>
      </w:r>
      <w:r w:rsidRPr="00D51789">
        <w:rPr>
          <w:sz w:val="22"/>
          <w:szCs w:val="22"/>
        </w:rPr>
        <w:t xml:space="preserve">. </w:t>
      </w:r>
      <w:r w:rsidR="000E0E2F">
        <w:rPr>
          <w:sz w:val="22"/>
          <w:szCs w:val="22"/>
        </w:rPr>
        <w:t>This was</w:t>
      </w:r>
      <w:r w:rsidRPr="00384879">
        <w:rPr>
          <w:sz w:val="22"/>
          <w:szCs w:val="22"/>
        </w:rPr>
        <w:t xml:space="preserve"> up </w:t>
      </w:r>
      <w:r w:rsidR="00484EE3">
        <w:rPr>
          <w:sz w:val="22"/>
          <w:szCs w:val="22"/>
        </w:rPr>
        <w:t>3%</w:t>
      </w:r>
      <w:r w:rsidRPr="00384879">
        <w:rPr>
          <w:sz w:val="22"/>
          <w:szCs w:val="22"/>
        </w:rPr>
        <w:t xml:space="preserve"> or $20/cow in the West and up </w:t>
      </w:r>
      <w:r w:rsidR="00484EE3">
        <w:rPr>
          <w:sz w:val="22"/>
          <w:szCs w:val="22"/>
        </w:rPr>
        <w:t>9%</w:t>
      </w:r>
      <w:r w:rsidRPr="00384879">
        <w:rPr>
          <w:sz w:val="22"/>
          <w:szCs w:val="22"/>
        </w:rPr>
        <w:t xml:space="preserve"> or $64/cow i</w:t>
      </w:r>
      <w:r w:rsidRPr="00D51789">
        <w:rPr>
          <w:sz w:val="22"/>
          <w:szCs w:val="22"/>
        </w:rPr>
        <w:t xml:space="preserve">n the East. Overall, </w:t>
      </w:r>
      <w:r>
        <w:rPr>
          <w:sz w:val="22"/>
          <w:szCs w:val="22"/>
        </w:rPr>
        <w:t>33</w:t>
      </w:r>
      <w:r w:rsidR="00484EE3">
        <w:rPr>
          <w:sz w:val="22"/>
          <w:szCs w:val="22"/>
        </w:rPr>
        <w:t>%</w:t>
      </w:r>
      <w:r w:rsidRPr="00D51789">
        <w:rPr>
          <w:sz w:val="22"/>
          <w:szCs w:val="22"/>
        </w:rPr>
        <w:t xml:space="preserve"> of </w:t>
      </w:r>
      <w:proofErr w:type="gramStart"/>
      <w:r w:rsidRPr="00D51789">
        <w:rPr>
          <w:sz w:val="22"/>
          <w:szCs w:val="22"/>
        </w:rPr>
        <w:t>the benchmark</w:t>
      </w:r>
      <w:proofErr w:type="gramEnd"/>
      <w:r w:rsidRPr="00D51789">
        <w:rPr>
          <w:sz w:val="22"/>
          <w:szCs w:val="22"/>
        </w:rPr>
        <w:t xml:space="preserve"> farms have approximate feed costs below $</w:t>
      </w:r>
      <w:r w:rsidRPr="002E0692">
        <w:rPr>
          <w:sz w:val="22"/>
          <w:szCs w:val="22"/>
        </w:rPr>
        <w:t>600</w:t>
      </w:r>
      <w:r w:rsidRPr="00D51789">
        <w:rPr>
          <w:sz w:val="22"/>
          <w:szCs w:val="22"/>
        </w:rPr>
        <w:t>/cow</w:t>
      </w:r>
      <w:r w:rsidR="000E0E2F">
        <w:rPr>
          <w:sz w:val="22"/>
          <w:szCs w:val="22"/>
        </w:rPr>
        <w:t xml:space="preserve"> with the </w:t>
      </w:r>
      <w:proofErr w:type="gramStart"/>
      <w:r w:rsidR="000E0E2F">
        <w:rPr>
          <w:sz w:val="22"/>
          <w:szCs w:val="22"/>
        </w:rPr>
        <w:t>top-third</w:t>
      </w:r>
      <w:proofErr w:type="gramEnd"/>
      <w:r w:rsidR="000E0E2F">
        <w:rPr>
          <w:sz w:val="22"/>
          <w:szCs w:val="22"/>
        </w:rPr>
        <w:t xml:space="preserve"> most profitable benchmarks averaging $559/cow with 204 days on feed </w:t>
      </w:r>
      <w:r w:rsidR="00BA10E7">
        <w:rPr>
          <w:sz w:val="22"/>
          <w:szCs w:val="22"/>
        </w:rPr>
        <w:t xml:space="preserve">and </w:t>
      </w:r>
      <w:r w:rsidR="000E0E2F">
        <w:rPr>
          <w:sz w:val="22"/>
          <w:szCs w:val="22"/>
        </w:rPr>
        <w:t>daily feed costs of $2.76/head/day</w:t>
      </w:r>
      <w:r w:rsidRPr="00D51789">
        <w:rPr>
          <w:sz w:val="22"/>
          <w:szCs w:val="22"/>
        </w:rPr>
        <w:t xml:space="preserve">. </w:t>
      </w:r>
      <w:r w:rsidR="000E0E2F">
        <w:rPr>
          <w:sz w:val="22"/>
          <w:szCs w:val="22"/>
        </w:rPr>
        <w:t xml:space="preserve">While days on feed were not much different between the </w:t>
      </w:r>
      <w:r w:rsidR="000E0E2F">
        <w:rPr>
          <w:sz w:val="22"/>
          <w:szCs w:val="22"/>
        </w:rPr>
        <w:lastRenderedPageBreak/>
        <w:t xml:space="preserve">average and </w:t>
      </w:r>
      <w:proofErr w:type="gramStart"/>
      <w:r w:rsidR="000E0E2F">
        <w:rPr>
          <w:sz w:val="22"/>
          <w:szCs w:val="22"/>
        </w:rPr>
        <w:t>top-third</w:t>
      </w:r>
      <w:proofErr w:type="gramEnd"/>
      <w:r w:rsidR="000E0E2F">
        <w:rPr>
          <w:sz w:val="22"/>
          <w:szCs w:val="22"/>
        </w:rPr>
        <w:t>, the daily feed cost was 26% lower, contributing to the 19% lower cost for the entire winter.</w:t>
      </w:r>
    </w:p>
    <w:tbl>
      <w:tblPr>
        <w:tblStyle w:val="TableGrid"/>
        <w:tblW w:w="9496" w:type="dxa"/>
        <w:shd w:val="clear" w:color="auto" w:fill="DAE9F7" w:themeFill="text2" w:themeFillTint="1A"/>
        <w:tblLook w:val="04A0" w:firstRow="1" w:lastRow="0" w:firstColumn="1" w:lastColumn="0" w:noHBand="0" w:noVBand="1"/>
      </w:tblPr>
      <w:tblGrid>
        <w:gridCol w:w="4169"/>
        <w:gridCol w:w="1395"/>
        <w:gridCol w:w="1149"/>
        <w:gridCol w:w="978"/>
        <w:gridCol w:w="1805"/>
      </w:tblGrid>
      <w:tr w:rsidR="002B3672" w14:paraId="3D2AE15D" w14:textId="77777777" w:rsidTr="00F67878">
        <w:trPr>
          <w:trHeight w:val="272"/>
        </w:trPr>
        <w:tc>
          <w:tcPr>
            <w:tcW w:w="0" w:type="auto"/>
            <w:shd w:val="clear" w:color="auto" w:fill="DAE9F7" w:themeFill="text2" w:themeFillTint="1A"/>
          </w:tcPr>
          <w:p w14:paraId="39893DDC" w14:textId="2945E222" w:rsidR="002B3672" w:rsidRPr="002B3672" w:rsidRDefault="002B3672" w:rsidP="002B3672">
            <w:pPr>
              <w:rPr>
                <w:b/>
                <w:bCs/>
              </w:rPr>
            </w:pPr>
            <w:r w:rsidRPr="002B3672">
              <w:rPr>
                <w:b/>
                <w:bCs/>
              </w:rPr>
              <w:t>Metric</w:t>
            </w:r>
          </w:p>
        </w:tc>
        <w:tc>
          <w:tcPr>
            <w:tcW w:w="0" w:type="auto"/>
            <w:shd w:val="clear" w:color="auto" w:fill="DAE9F7" w:themeFill="text2" w:themeFillTint="1A"/>
          </w:tcPr>
          <w:p w14:paraId="6116E554" w14:textId="3A6DA099" w:rsidR="002B3672" w:rsidRPr="002B3672" w:rsidRDefault="002B3672" w:rsidP="00F67878">
            <w:pPr>
              <w:jc w:val="center"/>
              <w:rPr>
                <w:b/>
                <w:bCs/>
              </w:rPr>
            </w:pPr>
            <w:r w:rsidRPr="002B3672">
              <w:rPr>
                <w:b/>
                <w:bCs/>
              </w:rPr>
              <w:t>Range</w:t>
            </w:r>
          </w:p>
        </w:tc>
        <w:tc>
          <w:tcPr>
            <w:tcW w:w="0" w:type="auto"/>
            <w:tcBorders>
              <w:right w:val="single" w:sz="12" w:space="0" w:color="FFC000"/>
            </w:tcBorders>
            <w:shd w:val="clear" w:color="auto" w:fill="DAE9F7" w:themeFill="text2" w:themeFillTint="1A"/>
          </w:tcPr>
          <w:p w14:paraId="4668C180" w14:textId="152F4A40" w:rsidR="002B3672" w:rsidRPr="002B3672" w:rsidRDefault="002B3672" w:rsidP="00F67878">
            <w:pPr>
              <w:jc w:val="center"/>
              <w:rPr>
                <w:b/>
                <w:bCs/>
              </w:rPr>
            </w:pPr>
            <w:r w:rsidRPr="002B3672">
              <w:rPr>
                <w:b/>
                <w:bCs/>
              </w:rPr>
              <w:t>Average</w:t>
            </w:r>
          </w:p>
        </w:tc>
        <w:tc>
          <w:tcPr>
            <w:tcW w:w="0" w:type="auto"/>
            <w:tcBorders>
              <w:top w:val="single" w:sz="12" w:space="0" w:color="FFC000"/>
              <w:left w:val="single" w:sz="12" w:space="0" w:color="FFC000"/>
              <w:bottom w:val="nil"/>
              <w:right w:val="single" w:sz="12" w:space="0" w:color="FFC000"/>
            </w:tcBorders>
            <w:shd w:val="clear" w:color="auto" w:fill="DAE9F7" w:themeFill="text2" w:themeFillTint="1A"/>
          </w:tcPr>
          <w:p w14:paraId="3BD41A40" w14:textId="34E6573F" w:rsidR="002B3672" w:rsidRPr="002B3672" w:rsidRDefault="002B3672" w:rsidP="00F67878">
            <w:pPr>
              <w:jc w:val="center"/>
              <w:rPr>
                <w:b/>
                <w:bCs/>
              </w:rPr>
            </w:pPr>
            <w:r w:rsidRPr="002B3672">
              <w:rPr>
                <w:b/>
                <w:bCs/>
              </w:rPr>
              <w:t>Top 3</w:t>
            </w:r>
            <w:r w:rsidRPr="002B3672">
              <w:rPr>
                <w:b/>
                <w:bCs/>
                <w:vertAlign w:val="superscript"/>
              </w:rPr>
              <w:t>rd</w:t>
            </w:r>
          </w:p>
        </w:tc>
        <w:tc>
          <w:tcPr>
            <w:tcW w:w="0" w:type="auto"/>
            <w:tcBorders>
              <w:left w:val="single" w:sz="12" w:space="0" w:color="FFC000"/>
            </w:tcBorders>
            <w:shd w:val="clear" w:color="auto" w:fill="DAE9F7" w:themeFill="text2" w:themeFillTint="1A"/>
          </w:tcPr>
          <w:p w14:paraId="52FFDF6B" w14:textId="4E561BDF" w:rsidR="002B3672" w:rsidRPr="002B3672" w:rsidRDefault="002B3672" w:rsidP="00F67878">
            <w:pPr>
              <w:jc w:val="center"/>
              <w:rPr>
                <w:b/>
                <w:bCs/>
              </w:rPr>
            </w:pPr>
            <w:r w:rsidRPr="002B3672">
              <w:rPr>
                <w:b/>
                <w:bCs/>
              </w:rPr>
              <w:t>Top 3</w:t>
            </w:r>
            <w:r w:rsidRPr="002B3672">
              <w:rPr>
                <w:b/>
                <w:bCs/>
                <w:vertAlign w:val="superscript"/>
              </w:rPr>
              <w:t>rd</w:t>
            </w:r>
            <w:r w:rsidRPr="002B3672">
              <w:rPr>
                <w:b/>
                <w:bCs/>
              </w:rPr>
              <w:t xml:space="preserve"> vs. Avg</w:t>
            </w:r>
          </w:p>
        </w:tc>
      </w:tr>
      <w:tr w:rsidR="002B3672" w14:paraId="590EA1FE" w14:textId="77777777" w:rsidTr="00F67878">
        <w:trPr>
          <w:trHeight w:val="272"/>
        </w:trPr>
        <w:tc>
          <w:tcPr>
            <w:tcW w:w="0" w:type="auto"/>
            <w:shd w:val="clear" w:color="auto" w:fill="DAE9F7" w:themeFill="text2" w:themeFillTint="1A"/>
          </w:tcPr>
          <w:p w14:paraId="3114904B" w14:textId="17BF1219" w:rsidR="002B3672" w:rsidRDefault="002B3672" w:rsidP="002B3672">
            <w:r>
              <w:t xml:space="preserve">Daily </w:t>
            </w:r>
            <w:r w:rsidR="00B3564E">
              <w:t>f</w:t>
            </w:r>
            <w:r>
              <w:t xml:space="preserve">eed </w:t>
            </w:r>
            <w:r w:rsidR="00B3564E">
              <w:t>c</w:t>
            </w:r>
            <w:r>
              <w:t>osts</w:t>
            </w:r>
            <w:r w:rsidR="00F67878">
              <w:t xml:space="preserve"> ($/hd/day)</w:t>
            </w:r>
          </w:p>
        </w:tc>
        <w:tc>
          <w:tcPr>
            <w:tcW w:w="0" w:type="auto"/>
            <w:shd w:val="clear" w:color="auto" w:fill="DAE9F7" w:themeFill="text2" w:themeFillTint="1A"/>
          </w:tcPr>
          <w:p w14:paraId="7CF0491C" w14:textId="1F808DA1" w:rsidR="002B3672" w:rsidRDefault="00F67878" w:rsidP="00F67878">
            <w:pPr>
              <w:jc w:val="center"/>
            </w:pPr>
            <w:r>
              <w:t>2.04-11.72</w:t>
            </w:r>
          </w:p>
        </w:tc>
        <w:tc>
          <w:tcPr>
            <w:tcW w:w="0" w:type="auto"/>
            <w:tcBorders>
              <w:right w:val="single" w:sz="12" w:space="0" w:color="FFC000"/>
            </w:tcBorders>
            <w:shd w:val="clear" w:color="auto" w:fill="DAE9F7" w:themeFill="text2" w:themeFillTint="1A"/>
          </w:tcPr>
          <w:p w14:paraId="2931BC65" w14:textId="110054E4" w:rsidR="002B3672" w:rsidRDefault="00F67878" w:rsidP="00F67878">
            <w:pPr>
              <w:jc w:val="center"/>
            </w:pPr>
            <w:r>
              <w:t>3.73</w:t>
            </w:r>
          </w:p>
        </w:tc>
        <w:tc>
          <w:tcPr>
            <w:tcW w:w="0" w:type="auto"/>
            <w:tcBorders>
              <w:top w:val="nil"/>
              <w:left w:val="single" w:sz="12" w:space="0" w:color="FFC000"/>
              <w:bottom w:val="nil"/>
              <w:right w:val="single" w:sz="12" w:space="0" w:color="FFC000"/>
            </w:tcBorders>
            <w:shd w:val="clear" w:color="auto" w:fill="DAE9F7" w:themeFill="text2" w:themeFillTint="1A"/>
          </w:tcPr>
          <w:p w14:paraId="74154707" w14:textId="5B51E74A" w:rsidR="002B3672" w:rsidRDefault="00F67878" w:rsidP="00F67878">
            <w:pPr>
              <w:jc w:val="center"/>
            </w:pPr>
            <w:r>
              <w:t>2.76</w:t>
            </w:r>
          </w:p>
        </w:tc>
        <w:tc>
          <w:tcPr>
            <w:tcW w:w="0" w:type="auto"/>
            <w:tcBorders>
              <w:left w:val="single" w:sz="12" w:space="0" w:color="FFC000"/>
            </w:tcBorders>
            <w:shd w:val="clear" w:color="auto" w:fill="DAE9F7" w:themeFill="text2" w:themeFillTint="1A"/>
          </w:tcPr>
          <w:p w14:paraId="6F52DDA9" w14:textId="53DD22BF" w:rsidR="002B3672" w:rsidRDefault="00F67878" w:rsidP="00F67878">
            <w:pPr>
              <w:jc w:val="center"/>
            </w:pPr>
            <w:r>
              <w:t>-26%</w:t>
            </w:r>
          </w:p>
        </w:tc>
      </w:tr>
      <w:tr w:rsidR="002B3672" w14:paraId="6B35F136" w14:textId="77777777" w:rsidTr="00F67878">
        <w:trPr>
          <w:trHeight w:val="281"/>
        </w:trPr>
        <w:tc>
          <w:tcPr>
            <w:tcW w:w="0" w:type="auto"/>
            <w:shd w:val="clear" w:color="auto" w:fill="DAE9F7" w:themeFill="text2" w:themeFillTint="1A"/>
          </w:tcPr>
          <w:p w14:paraId="21696205" w14:textId="6E6E47AF" w:rsidR="002B3672" w:rsidRDefault="002B3672" w:rsidP="002B3672">
            <w:r>
              <w:t xml:space="preserve">Days on </w:t>
            </w:r>
            <w:r w:rsidR="00B3564E">
              <w:t>f</w:t>
            </w:r>
            <w:r>
              <w:t>eed</w:t>
            </w:r>
          </w:p>
        </w:tc>
        <w:tc>
          <w:tcPr>
            <w:tcW w:w="0" w:type="auto"/>
            <w:shd w:val="clear" w:color="auto" w:fill="DAE9F7" w:themeFill="text2" w:themeFillTint="1A"/>
          </w:tcPr>
          <w:p w14:paraId="62E21E00" w14:textId="121B81DE" w:rsidR="002B3672" w:rsidRDefault="00F67878" w:rsidP="00F67878">
            <w:pPr>
              <w:jc w:val="center"/>
            </w:pPr>
            <w:r>
              <w:t>60-250</w:t>
            </w:r>
          </w:p>
        </w:tc>
        <w:tc>
          <w:tcPr>
            <w:tcW w:w="0" w:type="auto"/>
            <w:tcBorders>
              <w:right w:val="single" w:sz="12" w:space="0" w:color="FFC000"/>
            </w:tcBorders>
            <w:shd w:val="clear" w:color="auto" w:fill="DAE9F7" w:themeFill="text2" w:themeFillTint="1A"/>
          </w:tcPr>
          <w:p w14:paraId="17A5CB15" w14:textId="0EAAD90B" w:rsidR="002B3672" w:rsidRDefault="00F67878" w:rsidP="00F67878">
            <w:pPr>
              <w:jc w:val="center"/>
            </w:pPr>
            <w:r>
              <w:t>194</w:t>
            </w:r>
          </w:p>
        </w:tc>
        <w:tc>
          <w:tcPr>
            <w:tcW w:w="0" w:type="auto"/>
            <w:tcBorders>
              <w:top w:val="nil"/>
              <w:left w:val="single" w:sz="12" w:space="0" w:color="FFC000"/>
              <w:bottom w:val="nil"/>
              <w:right w:val="single" w:sz="12" w:space="0" w:color="FFC000"/>
            </w:tcBorders>
            <w:shd w:val="clear" w:color="auto" w:fill="DAE9F7" w:themeFill="text2" w:themeFillTint="1A"/>
          </w:tcPr>
          <w:p w14:paraId="4E6C9961" w14:textId="2ED55FFF" w:rsidR="002B3672" w:rsidRDefault="00F67878" w:rsidP="00F67878">
            <w:pPr>
              <w:jc w:val="center"/>
            </w:pPr>
            <w:r>
              <w:t>204</w:t>
            </w:r>
          </w:p>
        </w:tc>
        <w:tc>
          <w:tcPr>
            <w:tcW w:w="0" w:type="auto"/>
            <w:tcBorders>
              <w:left w:val="single" w:sz="12" w:space="0" w:color="FFC000"/>
            </w:tcBorders>
            <w:shd w:val="clear" w:color="auto" w:fill="DAE9F7" w:themeFill="text2" w:themeFillTint="1A"/>
          </w:tcPr>
          <w:p w14:paraId="3744F348" w14:textId="7CE2C227" w:rsidR="002B3672" w:rsidRDefault="00F67878" w:rsidP="00F67878">
            <w:pPr>
              <w:jc w:val="center"/>
            </w:pPr>
            <w:r>
              <w:t>+5%</w:t>
            </w:r>
          </w:p>
        </w:tc>
      </w:tr>
      <w:tr w:rsidR="002B3672" w14:paraId="691C415E" w14:textId="77777777" w:rsidTr="00F67878">
        <w:trPr>
          <w:trHeight w:val="272"/>
        </w:trPr>
        <w:tc>
          <w:tcPr>
            <w:tcW w:w="0" w:type="auto"/>
            <w:shd w:val="clear" w:color="auto" w:fill="DAE9F7" w:themeFill="text2" w:themeFillTint="1A"/>
          </w:tcPr>
          <w:p w14:paraId="4D3CA22B" w14:textId="64571A07" w:rsidR="002B3672" w:rsidRDefault="002B3672" w:rsidP="002B3672">
            <w:r w:rsidRPr="002B3672">
              <w:t>Approximate feed costs</w:t>
            </w:r>
            <w:r w:rsidR="00F67878">
              <w:t xml:space="preserve"> ($/cow/year)</w:t>
            </w:r>
          </w:p>
        </w:tc>
        <w:tc>
          <w:tcPr>
            <w:tcW w:w="0" w:type="auto"/>
            <w:shd w:val="clear" w:color="auto" w:fill="DAE9F7" w:themeFill="text2" w:themeFillTint="1A"/>
          </w:tcPr>
          <w:p w14:paraId="2A262144" w14:textId="493B4A3F" w:rsidR="002B3672" w:rsidRDefault="00F67878" w:rsidP="00F67878">
            <w:pPr>
              <w:jc w:val="center"/>
            </w:pPr>
            <w:r>
              <w:t>368-1173</w:t>
            </w:r>
          </w:p>
        </w:tc>
        <w:tc>
          <w:tcPr>
            <w:tcW w:w="0" w:type="auto"/>
            <w:tcBorders>
              <w:right w:val="single" w:sz="12" w:space="0" w:color="FFC000"/>
            </w:tcBorders>
            <w:shd w:val="clear" w:color="auto" w:fill="DAE9F7" w:themeFill="text2" w:themeFillTint="1A"/>
          </w:tcPr>
          <w:p w14:paraId="13D6F8C9" w14:textId="7EFF1FD1" w:rsidR="002B3672" w:rsidRDefault="00F67878" w:rsidP="00F67878">
            <w:pPr>
              <w:jc w:val="center"/>
            </w:pPr>
            <w:r>
              <w:t>690</w:t>
            </w:r>
          </w:p>
        </w:tc>
        <w:tc>
          <w:tcPr>
            <w:tcW w:w="0" w:type="auto"/>
            <w:tcBorders>
              <w:top w:val="nil"/>
              <w:left w:val="single" w:sz="12" w:space="0" w:color="FFC000"/>
              <w:bottom w:val="single" w:sz="12" w:space="0" w:color="FFC000"/>
              <w:right w:val="single" w:sz="12" w:space="0" w:color="FFC000"/>
            </w:tcBorders>
            <w:shd w:val="clear" w:color="auto" w:fill="DAE9F7" w:themeFill="text2" w:themeFillTint="1A"/>
          </w:tcPr>
          <w:p w14:paraId="3912EAA5" w14:textId="2BA86E92" w:rsidR="002B3672" w:rsidRDefault="00F67878" w:rsidP="00F67878">
            <w:pPr>
              <w:jc w:val="center"/>
            </w:pPr>
            <w:r>
              <w:t>559</w:t>
            </w:r>
          </w:p>
        </w:tc>
        <w:tc>
          <w:tcPr>
            <w:tcW w:w="0" w:type="auto"/>
            <w:tcBorders>
              <w:left w:val="single" w:sz="12" w:space="0" w:color="FFC000"/>
            </w:tcBorders>
            <w:shd w:val="clear" w:color="auto" w:fill="DAE9F7" w:themeFill="text2" w:themeFillTint="1A"/>
          </w:tcPr>
          <w:p w14:paraId="25C09B8D" w14:textId="59510A51" w:rsidR="002B3672" w:rsidRDefault="00F67878" w:rsidP="00F67878">
            <w:pPr>
              <w:jc w:val="center"/>
            </w:pPr>
            <w:r>
              <w:t>-19%</w:t>
            </w:r>
          </w:p>
        </w:tc>
      </w:tr>
    </w:tbl>
    <w:p w14:paraId="15DA1EC2" w14:textId="1186013A" w:rsidR="00F67878" w:rsidRPr="00816CFD" w:rsidRDefault="005C5D4E" w:rsidP="00F67878">
      <w:pPr>
        <w:pStyle w:val="COPParagraph"/>
        <w:rPr>
          <w:b/>
          <w:bCs/>
          <w:sz w:val="22"/>
          <w:szCs w:val="22"/>
        </w:rPr>
      </w:pPr>
      <w:r>
        <w:rPr>
          <w:noProof/>
        </w:rPr>
        <mc:AlternateContent>
          <mc:Choice Requires="wps">
            <w:drawing>
              <wp:anchor distT="45720" distB="45720" distL="114300" distR="114300" simplePos="0" relativeHeight="251661312" behindDoc="0" locked="0" layoutInCell="1" allowOverlap="1" wp14:anchorId="62991D57" wp14:editId="1E62F51A">
                <wp:simplePos x="0" y="0"/>
                <wp:positionH relativeFrom="column">
                  <wp:posOffset>4084955</wp:posOffset>
                </wp:positionH>
                <wp:positionV relativeFrom="paragraph">
                  <wp:posOffset>401955</wp:posOffset>
                </wp:positionV>
                <wp:extent cx="1856105" cy="1404620"/>
                <wp:effectExtent l="0" t="0" r="10795" b="22225"/>
                <wp:wrapSquare wrapText="bothSides"/>
                <wp:docPr id="1074267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chemeClr val="accent2">
                            <a:lumMod val="20000"/>
                            <a:lumOff val="80000"/>
                          </a:schemeClr>
                        </a:solidFill>
                        <a:ln w="9525">
                          <a:solidFill>
                            <a:schemeClr val="bg1"/>
                          </a:solidFill>
                          <a:miter lim="800000"/>
                          <a:headEnd/>
                          <a:tailEnd/>
                        </a:ln>
                      </wps:spPr>
                      <wps:txbx>
                        <w:txbxContent>
                          <w:p w14:paraId="52D6A92D" w14:textId="3B70A4CA" w:rsidR="005C5D4E" w:rsidRDefault="00E225BE" w:rsidP="005C5D4E">
                            <w:pPr>
                              <w:spacing w:after="120" w:line="240" w:lineRule="auto"/>
                            </w:pPr>
                            <w:r>
                              <w:t xml:space="preserve">2024 </w:t>
                            </w:r>
                            <w:r w:rsidR="0074053B">
                              <w:t>Top 3</w:t>
                            </w:r>
                            <w:r w:rsidR="0074053B" w:rsidRPr="005F11F6">
                              <w:rPr>
                                <w:vertAlign w:val="superscript"/>
                              </w:rPr>
                              <w:t>rd</w:t>
                            </w:r>
                            <w:r w:rsidR="0074053B">
                              <w:t xml:space="preserve"> </w:t>
                            </w:r>
                            <w:r w:rsidR="005C5D4E">
                              <w:t xml:space="preserve">Benchmark </w:t>
                            </w:r>
                            <w:r w:rsidR="00854AEA">
                              <w:t>f</w:t>
                            </w:r>
                            <w:r w:rsidR="005C5D4E">
                              <w:t xml:space="preserve">eed costs are: </w:t>
                            </w:r>
                          </w:p>
                          <w:p w14:paraId="25B2C05E" w14:textId="77777777" w:rsidR="005C5D4E" w:rsidRDefault="005C5D4E" w:rsidP="005C5D4E">
                            <w:pPr>
                              <w:pStyle w:val="ListParagraph"/>
                              <w:numPr>
                                <w:ilvl w:val="0"/>
                                <w:numId w:val="2"/>
                              </w:numPr>
                            </w:pPr>
                            <w:r>
                              <w:t>$2.76/head/day</w:t>
                            </w:r>
                          </w:p>
                          <w:p w14:paraId="449C397D" w14:textId="2D0C7AFB" w:rsidR="005C5D4E" w:rsidRDefault="005C5D4E" w:rsidP="005C5D4E">
                            <w:pPr>
                              <w:pStyle w:val="ListParagraph"/>
                              <w:numPr>
                                <w:ilvl w:val="0"/>
                                <w:numId w:val="2"/>
                              </w:numPr>
                            </w:pPr>
                            <w:r>
                              <w:t>$559/cow/year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91D57" id="_x0000_t202" coordsize="21600,21600" o:spt="202" path="m,l,21600r21600,l21600,xe">
                <v:stroke joinstyle="miter"/>
                <v:path gradientshapeok="t" o:connecttype="rect"/>
              </v:shapetype>
              <v:shape id="_x0000_s1027" type="#_x0000_t202" style="position:absolute;left:0;text-align:left;margin-left:321.65pt;margin-top:31.65pt;width:146.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" fillcolor="#fae2d5 [661]" strokecolor="white [3212]">
                <v:textbox style="mso-fit-shape-to-text:t">
                  <w:txbxContent>
                    <w:p w14:paraId="52D6A92D" w14:textId="3B70A4CA" w:rsidR="005C5D4E" w:rsidRDefault="00E225BE" w:rsidP="005C5D4E">
                      <w:pPr>
                        <w:spacing w:after="120" w:line="240" w:lineRule="auto"/>
                      </w:pPr>
                      <w:r>
                        <w:t xml:space="preserve">2024 </w:t>
                      </w:r>
                      <w:r w:rsidR="0074053B">
                        <w:t>Top 3</w:t>
                      </w:r>
                      <w:r w:rsidR="0074053B" w:rsidRPr="005F11F6">
                        <w:rPr>
                          <w:vertAlign w:val="superscript"/>
                        </w:rPr>
                        <w:t>rd</w:t>
                      </w:r>
                      <w:r w:rsidR="0074053B">
                        <w:t xml:space="preserve"> </w:t>
                      </w:r>
                      <w:r w:rsidR="005C5D4E">
                        <w:t xml:space="preserve">Benchmark </w:t>
                      </w:r>
                      <w:r w:rsidR="00854AEA">
                        <w:t>f</w:t>
                      </w:r>
                      <w:r w:rsidR="005C5D4E">
                        <w:t xml:space="preserve">eed costs are: </w:t>
                      </w:r>
                    </w:p>
                    <w:p w14:paraId="25B2C05E" w14:textId="77777777" w:rsidR="005C5D4E" w:rsidRDefault="005C5D4E" w:rsidP="005C5D4E">
                      <w:pPr>
                        <w:pStyle w:val="ListParagraph"/>
                        <w:numPr>
                          <w:ilvl w:val="0"/>
                          <w:numId w:val="2"/>
                        </w:numPr>
                      </w:pPr>
                      <w:r>
                        <w:t>$2.76/head/day</w:t>
                      </w:r>
                    </w:p>
                    <w:p w14:paraId="449C397D" w14:textId="2D0C7AFB" w:rsidR="005C5D4E" w:rsidRDefault="005C5D4E" w:rsidP="005C5D4E">
                      <w:pPr>
                        <w:pStyle w:val="ListParagraph"/>
                        <w:numPr>
                          <w:ilvl w:val="0"/>
                          <w:numId w:val="2"/>
                        </w:numPr>
                      </w:pPr>
                      <w:r>
                        <w:t>$559/cow/year</w:t>
                      </w:r>
                    </w:p>
                  </w:txbxContent>
                </v:textbox>
                <w10:wrap type="square"/>
              </v:shape>
            </w:pict>
          </mc:Fallback>
        </mc:AlternateContent>
      </w:r>
      <w:r w:rsidR="00F67878" w:rsidRPr="00FA6A35">
        <w:rPr>
          <w:sz w:val="22"/>
          <w:szCs w:val="22"/>
          <w:lang w:val="en-CA"/>
        </w:rPr>
        <w:t xml:space="preserve">The daily feed cost is calculated </w:t>
      </w:r>
      <w:r w:rsidR="00F67878">
        <w:rPr>
          <w:sz w:val="22"/>
          <w:szCs w:val="22"/>
          <w:lang w:val="en-CA"/>
        </w:rPr>
        <w:t xml:space="preserve">by dividing </w:t>
      </w:r>
      <w:r w:rsidR="00F67878" w:rsidRPr="00FA6A35">
        <w:rPr>
          <w:sz w:val="22"/>
          <w:szCs w:val="22"/>
          <w:lang w:val="en-CA"/>
        </w:rPr>
        <w:t xml:space="preserve">approximate feed cost by </w:t>
      </w:r>
      <w:r w:rsidR="00F67878">
        <w:rPr>
          <w:sz w:val="22"/>
          <w:szCs w:val="22"/>
          <w:lang w:val="en-CA"/>
        </w:rPr>
        <w:t xml:space="preserve">the number of </w:t>
      </w:r>
      <w:r w:rsidR="00F67878" w:rsidRPr="00FA6A35">
        <w:rPr>
          <w:sz w:val="22"/>
          <w:szCs w:val="22"/>
          <w:lang w:val="en-CA"/>
        </w:rPr>
        <w:t xml:space="preserve">total winter-feeding days, </w:t>
      </w:r>
      <w:r w:rsidR="00F67878">
        <w:rPr>
          <w:sz w:val="22"/>
          <w:szCs w:val="22"/>
          <w:lang w:val="en-CA"/>
        </w:rPr>
        <w:t>based on the assumption that most</w:t>
      </w:r>
      <w:r w:rsidR="00F67878" w:rsidRPr="00FA6A35">
        <w:rPr>
          <w:sz w:val="22"/>
          <w:szCs w:val="22"/>
          <w:lang w:val="en-CA"/>
        </w:rPr>
        <w:t xml:space="preserve"> of the costs for feeding and feed production are </w:t>
      </w:r>
      <w:r w:rsidR="00F67878">
        <w:rPr>
          <w:sz w:val="22"/>
          <w:szCs w:val="22"/>
          <w:lang w:val="en-CA"/>
        </w:rPr>
        <w:t xml:space="preserve">incurred during the </w:t>
      </w:r>
      <w:r w:rsidR="00F67878" w:rsidRPr="00FA6A35">
        <w:rPr>
          <w:sz w:val="22"/>
          <w:szCs w:val="22"/>
          <w:lang w:val="en-CA"/>
        </w:rPr>
        <w:t>winter-feeding period for</w:t>
      </w:r>
      <w:r w:rsidR="00F67878">
        <w:rPr>
          <w:sz w:val="22"/>
          <w:szCs w:val="22"/>
          <w:lang w:val="en-CA"/>
        </w:rPr>
        <w:t xml:space="preserve"> </w:t>
      </w:r>
      <w:r w:rsidR="00D708C4">
        <w:rPr>
          <w:sz w:val="22"/>
          <w:szCs w:val="22"/>
          <w:lang w:val="en-CA"/>
        </w:rPr>
        <w:t>most</w:t>
      </w:r>
      <w:r w:rsidR="00F67878">
        <w:rPr>
          <w:sz w:val="22"/>
          <w:szCs w:val="22"/>
          <w:lang w:val="en-CA"/>
        </w:rPr>
        <w:t xml:space="preserve"> </w:t>
      </w:r>
      <w:r w:rsidR="00F67878" w:rsidRPr="00FA6A35">
        <w:rPr>
          <w:sz w:val="22"/>
          <w:szCs w:val="22"/>
          <w:lang w:val="en-CA"/>
        </w:rPr>
        <w:t>benchmark farms</w:t>
      </w:r>
      <w:r w:rsidR="00F67878">
        <w:rPr>
          <w:sz w:val="22"/>
          <w:szCs w:val="22"/>
          <w:lang w:val="en-CA"/>
        </w:rPr>
        <w:t xml:space="preserve">, </w:t>
      </w:r>
      <w:r w:rsidR="00AA3320">
        <w:rPr>
          <w:sz w:val="22"/>
          <w:szCs w:val="22"/>
          <w:lang w:val="en-CA"/>
        </w:rPr>
        <w:t>except for</w:t>
      </w:r>
      <w:r w:rsidR="00F67878">
        <w:rPr>
          <w:sz w:val="22"/>
          <w:szCs w:val="22"/>
          <w:lang w:val="en-CA"/>
        </w:rPr>
        <w:t xml:space="preserve"> </w:t>
      </w:r>
      <w:r w:rsidR="00F67878" w:rsidRPr="00FA6A35">
        <w:rPr>
          <w:sz w:val="22"/>
          <w:szCs w:val="22"/>
          <w:lang w:val="en-CA"/>
        </w:rPr>
        <w:t>year-round</w:t>
      </w:r>
      <w:r w:rsidR="00F67878">
        <w:rPr>
          <w:sz w:val="22"/>
          <w:szCs w:val="22"/>
          <w:lang w:val="en-CA"/>
        </w:rPr>
        <w:t xml:space="preserve"> grazing</w:t>
      </w:r>
      <w:r w:rsidR="00F67878" w:rsidRPr="00FA6A35">
        <w:rPr>
          <w:sz w:val="22"/>
          <w:szCs w:val="22"/>
          <w:lang w:val="en-CA"/>
        </w:rPr>
        <w:t xml:space="preserve"> operation</w:t>
      </w:r>
      <w:r w:rsidR="00F67878">
        <w:rPr>
          <w:sz w:val="22"/>
          <w:szCs w:val="22"/>
          <w:lang w:val="en-CA"/>
        </w:rPr>
        <w:t>s</w:t>
      </w:r>
      <w:r w:rsidR="00F67878" w:rsidRPr="00FA6A35">
        <w:rPr>
          <w:sz w:val="22"/>
          <w:szCs w:val="22"/>
          <w:lang w:val="en-CA"/>
        </w:rPr>
        <w:t xml:space="preserve">. </w:t>
      </w:r>
      <w:r w:rsidR="00F67878">
        <w:rPr>
          <w:sz w:val="22"/>
          <w:szCs w:val="22"/>
          <w:lang w:val="en-CA"/>
        </w:rPr>
        <w:t>D</w:t>
      </w:r>
      <w:r w:rsidR="00F67878" w:rsidRPr="00BF2D2D">
        <w:rPr>
          <w:sz w:val="22"/>
          <w:szCs w:val="22"/>
          <w:lang w:val="en-CA"/>
        </w:rPr>
        <w:t xml:space="preserve">aily feed cost for </w:t>
      </w:r>
      <w:r w:rsidR="00F67878" w:rsidRPr="002E0692">
        <w:rPr>
          <w:sz w:val="22"/>
          <w:szCs w:val="22"/>
          <w:lang w:val="en-CA"/>
        </w:rPr>
        <w:t>year-round grazing operation</w:t>
      </w:r>
      <w:r w:rsidR="00AA3320">
        <w:rPr>
          <w:sz w:val="22"/>
          <w:szCs w:val="22"/>
          <w:lang w:val="en-CA"/>
        </w:rPr>
        <w:t>s</w:t>
      </w:r>
      <w:r w:rsidR="00F67878" w:rsidRPr="00BF2D2D">
        <w:rPr>
          <w:sz w:val="22"/>
          <w:szCs w:val="22"/>
          <w:lang w:val="en-CA"/>
        </w:rPr>
        <w:t xml:space="preserve">, is likely overestimated due to </w:t>
      </w:r>
      <w:r w:rsidR="00AA3320">
        <w:rPr>
          <w:sz w:val="22"/>
          <w:szCs w:val="22"/>
          <w:lang w:val="en-CA"/>
        </w:rPr>
        <w:t>a</w:t>
      </w:r>
      <w:r w:rsidR="00AA3320" w:rsidRPr="00BF2D2D">
        <w:rPr>
          <w:sz w:val="22"/>
          <w:szCs w:val="22"/>
          <w:lang w:val="en-CA"/>
        </w:rPr>
        <w:t xml:space="preserve"> </w:t>
      </w:r>
      <w:r w:rsidR="00F67878" w:rsidRPr="00BF2D2D">
        <w:rPr>
          <w:sz w:val="22"/>
          <w:szCs w:val="22"/>
          <w:lang w:val="en-CA"/>
        </w:rPr>
        <w:t xml:space="preserve">short </w:t>
      </w:r>
      <w:r w:rsidR="00A02BA2">
        <w:rPr>
          <w:sz w:val="22"/>
          <w:szCs w:val="22"/>
          <w:lang w:val="en-CA"/>
        </w:rPr>
        <w:t>(</w:t>
      </w:r>
      <w:r w:rsidR="00A02BA2" w:rsidRPr="00AA3320">
        <w:rPr>
          <w:sz w:val="22"/>
          <w:szCs w:val="22"/>
          <w:lang w:val="en-CA"/>
        </w:rPr>
        <w:t>60 days</w:t>
      </w:r>
      <w:r w:rsidR="00A02BA2">
        <w:rPr>
          <w:sz w:val="22"/>
          <w:szCs w:val="22"/>
          <w:lang w:val="en-CA"/>
        </w:rPr>
        <w:t xml:space="preserve">) </w:t>
      </w:r>
      <w:r w:rsidR="00F67878" w:rsidRPr="00BF2D2D">
        <w:rPr>
          <w:sz w:val="22"/>
          <w:szCs w:val="22"/>
          <w:lang w:val="en-CA"/>
        </w:rPr>
        <w:t xml:space="preserve">winter-feeding period. </w:t>
      </w:r>
    </w:p>
    <w:p w14:paraId="32BB3205" w14:textId="61F1EBEF" w:rsidR="002B3672" w:rsidRDefault="002B3672" w:rsidP="00207711">
      <w:pPr>
        <w:pStyle w:val="Heading1"/>
      </w:pPr>
      <w:r>
        <w:t>Winter Feeding Systems</w:t>
      </w:r>
    </w:p>
    <w:p w14:paraId="6E0337C1" w14:textId="6CE0B18C" w:rsidR="00A877B1" w:rsidRPr="00D51789" w:rsidRDefault="00A877B1" w:rsidP="00A877B1">
      <w:pPr>
        <w:pStyle w:val="COPParagraph"/>
        <w:rPr>
          <w:sz w:val="22"/>
          <w:szCs w:val="22"/>
        </w:rPr>
      </w:pPr>
      <w:r w:rsidRPr="00D51789">
        <w:rPr>
          <w:sz w:val="22"/>
          <w:szCs w:val="22"/>
        </w:rPr>
        <w:t xml:space="preserve">Benchmark farms were categorized by primary </w:t>
      </w:r>
      <w:r w:rsidR="00A243E9">
        <w:rPr>
          <w:sz w:val="22"/>
          <w:szCs w:val="22"/>
        </w:rPr>
        <w:t>type of forage</w:t>
      </w:r>
      <w:r w:rsidR="00566D01">
        <w:rPr>
          <w:sz w:val="22"/>
          <w:szCs w:val="22"/>
        </w:rPr>
        <w:t xml:space="preserve"> fed</w:t>
      </w:r>
      <w:r w:rsidR="00A243E9" w:rsidRPr="00D51789">
        <w:rPr>
          <w:sz w:val="22"/>
          <w:szCs w:val="22"/>
        </w:rPr>
        <w:t xml:space="preserve"> </w:t>
      </w:r>
      <w:r w:rsidRPr="00D51789">
        <w:rPr>
          <w:sz w:val="22"/>
          <w:szCs w:val="22"/>
        </w:rPr>
        <w:t>in the winter diet. These were:</w:t>
      </w:r>
    </w:p>
    <w:p w14:paraId="0C7EE67F" w14:textId="5E8BA830" w:rsidR="00A877B1" w:rsidRPr="00384879" w:rsidRDefault="00A877B1" w:rsidP="00A877B1">
      <w:pPr>
        <w:pStyle w:val="COPParagraph"/>
        <w:numPr>
          <w:ilvl w:val="0"/>
          <w:numId w:val="1"/>
        </w:numPr>
        <w:spacing w:before="0" w:after="0"/>
        <w:ind w:left="714" w:hanging="357"/>
        <w:rPr>
          <w:sz w:val="22"/>
          <w:szCs w:val="22"/>
        </w:rPr>
      </w:pPr>
      <w:r w:rsidRPr="00384879">
        <w:rPr>
          <w:sz w:val="22"/>
          <w:szCs w:val="22"/>
        </w:rPr>
        <w:t>Annuals: includ</w:t>
      </w:r>
      <w:r w:rsidR="00566D01">
        <w:rPr>
          <w:sz w:val="22"/>
          <w:szCs w:val="22"/>
        </w:rPr>
        <w:t>ing</w:t>
      </w:r>
      <w:r w:rsidRPr="00384879">
        <w:rPr>
          <w:sz w:val="22"/>
          <w:szCs w:val="22"/>
        </w:rPr>
        <w:t xml:space="preserve"> greenfeed, straw, swath graze, corn graze, crop residues</w:t>
      </w:r>
    </w:p>
    <w:p w14:paraId="7B5D4184" w14:textId="55615EEC" w:rsidR="00A877B1" w:rsidRPr="00384879" w:rsidRDefault="00A877B1" w:rsidP="00A877B1">
      <w:pPr>
        <w:pStyle w:val="COPParagraph"/>
        <w:numPr>
          <w:ilvl w:val="0"/>
          <w:numId w:val="1"/>
        </w:numPr>
        <w:spacing w:before="0" w:after="0"/>
        <w:ind w:left="714" w:hanging="357"/>
        <w:rPr>
          <w:sz w:val="22"/>
          <w:szCs w:val="22"/>
        </w:rPr>
      </w:pPr>
      <w:r w:rsidRPr="00384879">
        <w:rPr>
          <w:sz w:val="22"/>
          <w:szCs w:val="22"/>
        </w:rPr>
        <w:t>Hay</w:t>
      </w:r>
      <w:r w:rsidR="001C0C3B">
        <w:rPr>
          <w:sz w:val="22"/>
          <w:szCs w:val="22"/>
        </w:rPr>
        <w:t xml:space="preserve"> (</w:t>
      </w:r>
      <w:r w:rsidR="00095A47">
        <w:rPr>
          <w:sz w:val="22"/>
          <w:szCs w:val="22"/>
        </w:rPr>
        <w:t>p</w:t>
      </w:r>
      <w:r w:rsidR="001C0C3B">
        <w:rPr>
          <w:sz w:val="22"/>
          <w:szCs w:val="22"/>
        </w:rPr>
        <w:t>erennial forages)</w:t>
      </w:r>
      <w:r w:rsidRPr="00384879">
        <w:rPr>
          <w:sz w:val="22"/>
          <w:szCs w:val="22"/>
        </w:rPr>
        <w:t>: includ</w:t>
      </w:r>
      <w:r w:rsidR="00566D01">
        <w:rPr>
          <w:sz w:val="22"/>
          <w:szCs w:val="22"/>
        </w:rPr>
        <w:t>ing</w:t>
      </w:r>
      <w:r w:rsidRPr="00384879">
        <w:rPr>
          <w:sz w:val="22"/>
          <w:szCs w:val="22"/>
        </w:rPr>
        <w:t xml:space="preserve"> dry hay, haylage, </w:t>
      </w:r>
      <w:r w:rsidR="00421F31">
        <w:rPr>
          <w:sz w:val="22"/>
          <w:szCs w:val="22"/>
        </w:rPr>
        <w:t>baleage</w:t>
      </w:r>
      <w:commentRangeStart w:id="1"/>
      <w:commentRangeStart w:id="2"/>
      <w:commentRangeEnd w:id="1"/>
      <w:r w:rsidR="0057551A">
        <w:rPr>
          <w:rStyle w:val="CommentReference"/>
          <w:rFonts w:asciiTheme="minorHAnsi" w:eastAsia="SimSun" w:hAnsiTheme="minorHAnsi" w:cstheme="minorBidi"/>
          <w:lang w:val="en-CA"/>
        </w:rPr>
        <w:commentReference w:id="1"/>
      </w:r>
      <w:commentRangeEnd w:id="2"/>
      <w:r w:rsidR="00525BF6">
        <w:rPr>
          <w:rStyle w:val="CommentReference"/>
          <w:rFonts w:asciiTheme="minorHAnsi" w:eastAsia="SimSun" w:hAnsiTheme="minorHAnsi" w:cstheme="minorBidi"/>
          <w:lang w:val="en-CA"/>
        </w:rPr>
        <w:commentReference w:id="2"/>
      </w:r>
    </w:p>
    <w:p w14:paraId="2AED8ACE" w14:textId="13837900" w:rsidR="00A877B1" w:rsidRPr="00AA3320" w:rsidRDefault="00A877B1" w:rsidP="00A877B1">
      <w:pPr>
        <w:pStyle w:val="COPParagraph"/>
        <w:numPr>
          <w:ilvl w:val="0"/>
          <w:numId w:val="1"/>
        </w:numPr>
        <w:spacing w:before="0" w:after="0"/>
        <w:ind w:left="714" w:hanging="357"/>
        <w:rPr>
          <w:sz w:val="22"/>
          <w:szCs w:val="22"/>
        </w:rPr>
      </w:pPr>
      <w:r w:rsidRPr="00384879">
        <w:rPr>
          <w:sz w:val="22"/>
          <w:szCs w:val="22"/>
        </w:rPr>
        <w:t>Silage</w:t>
      </w:r>
      <w:r w:rsidR="001C0C3B">
        <w:rPr>
          <w:sz w:val="22"/>
          <w:szCs w:val="22"/>
        </w:rPr>
        <w:t xml:space="preserve"> (</w:t>
      </w:r>
      <w:r w:rsidR="00BF6AC2">
        <w:rPr>
          <w:sz w:val="22"/>
          <w:szCs w:val="22"/>
        </w:rPr>
        <w:t>a</w:t>
      </w:r>
      <w:r w:rsidR="001C0C3B">
        <w:rPr>
          <w:sz w:val="22"/>
          <w:szCs w:val="22"/>
        </w:rPr>
        <w:t>nnual forages)</w:t>
      </w:r>
      <w:r w:rsidRPr="00384879">
        <w:rPr>
          <w:sz w:val="22"/>
          <w:szCs w:val="22"/>
        </w:rPr>
        <w:t>: includ</w:t>
      </w:r>
      <w:r w:rsidR="0057551A">
        <w:rPr>
          <w:sz w:val="22"/>
          <w:szCs w:val="22"/>
        </w:rPr>
        <w:t>ing</w:t>
      </w:r>
      <w:r w:rsidRPr="00384879">
        <w:rPr>
          <w:sz w:val="22"/>
          <w:szCs w:val="22"/>
        </w:rPr>
        <w:t xml:space="preserve"> oat </w:t>
      </w:r>
      <w:proofErr w:type="gramStart"/>
      <w:r w:rsidRPr="00384879">
        <w:rPr>
          <w:sz w:val="22"/>
          <w:szCs w:val="22"/>
        </w:rPr>
        <w:t>silage</w:t>
      </w:r>
      <w:proofErr w:type="gramEnd"/>
      <w:r w:rsidRPr="00384879">
        <w:rPr>
          <w:sz w:val="22"/>
          <w:szCs w:val="22"/>
        </w:rPr>
        <w:t>, barley silage, pea silage, corn silage</w:t>
      </w:r>
    </w:p>
    <w:p w14:paraId="1569487B" w14:textId="289F915D" w:rsidR="00AA3320" w:rsidRDefault="00136ACB" w:rsidP="00E27307">
      <w:pPr>
        <w:pStyle w:val="COPParagraph"/>
        <w:rPr>
          <w:b/>
          <w:bCs/>
          <w:sz w:val="22"/>
          <w:szCs w:val="22"/>
        </w:rPr>
      </w:pPr>
      <w:r w:rsidRPr="00136ACB">
        <w:rPr>
          <w:noProof/>
        </w:rPr>
        <w:drawing>
          <wp:inline distT="0" distB="0" distL="0" distR="0" wp14:anchorId="59751D9E" wp14:editId="64F79EB5">
            <wp:extent cx="5795010" cy="3218180"/>
            <wp:effectExtent l="0" t="0" r="0" b="1270"/>
            <wp:docPr id="6902779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5010" cy="3218180"/>
                    </a:xfrm>
                    <a:prstGeom prst="rect">
                      <a:avLst/>
                    </a:prstGeom>
                    <a:noFill/>
                    <a:ln>
                      <a:noFill/>
                    </a:ln>
                  </pic:spPr>
                </pic:pic>
              </a:graphicData>
            </a:graphic>
          </wp:inline>
        </w:drawing>
      </w:r>
      <w:r w:rsidR="00A877B1">
        <w:br w:type="textWrapping" w:clear="all"/>
      </w:r>
      <w:r w:rsidR="00AA3320" w:rsidRPr="00D51789">
        <w:rPr>
          <w:b/>
          <w:bCs/>
          <w:sz w:val="22"/>
          <w:szCs w:val="22"/>
        </w:rPr>
        <w:t xml:space="preserve">Figure </w:t>
      </w:r>
      <w:r w:rsidR="00AA3320" w:rsidRPr="00D51789">
        <w:rPr>
          <w:b/>
          <w:bCs/>
          <w:sz w:val="22"/>
          <w:szCs w:val="22"/>
        </w:rPr>
        <w:fldChar w:fldCharType="begin"/>
      </w:r>
      <w:r w:rsidR="00AA3320" w:rsidRPr="00D51789">
        <w:rPr>
          <w:b/>
          <w:bCs/>
          <w:sz w:val="22"/>
          <w:szCs w:val="22"/>
        </w:rPr>
        <w:instrText xml:space="preserve"> SEQ Figure \* ARABIC </w:instrText>
      </w:r>
      <w:r w:rsidR="00AA3320" w:rsidRPr="00D51789">
        <w:rPr>
          <w:b/>
          <w:bCs/>
          <w:sz w:val="22"/>
          <w:szCs w:val="22"/>
        </w:rPr>
        <w:fldChar w:fldCharType="separate"/>
      </w:r>
      <w:r w:rsidR="00F9081C">
        <w:rPr>
          <w:b/>
          <w:bCs/>
          <w:noProof/>
          <w:sz w:val="22"/>
          <w:szCs w:val="22"/>
        </w:rPr>
        <w:t>1</w:t>
      </w:r>
      <w:r w:rsidR="00AA3320" w:rsidRPr="00D51789">
        <w:rPr>
          <w:b/>
          <w:bCs/>
          <w:sz w:val="22"/>
          <w:szCs w:val="22"/>
        </w:rPr>
        <w:fldChar w:fldCharType="end"/>
      </w:r>
      <w:r w:rsidR="00AA3320" w:rsidRPr="00D51789">
        <w:rPr>
          <w:b/>
          <w:bCs/>
          <w:sz w:val="22"/>
          <w:szCs w:val="22"/>
        </w:rPr>
        <w:t xml:space="preserve">. </w:t>
      </w:r>
      <w:r w:rsidR="00AA3320">
        <w:rPr>
          <w:b/>
          <w:bCs/>
          <w:sz w:val="22"/>
          <w:szCs w:val="22"/>
        </w:rPr>
        <w:t>Approximate feed</w:t>
      </w:r>
      <w:r w:rsidR="00AA3320" w:rsidRPr="00D51789">
        <w:rPr>
          <w:b/>
          <w:bCs/>
          <w:sz w:val="22"/>
          <w:szCs w:val="22"/>
        </w:rPr>
        <w:t xml:space="preserve"> costs ($/cow) by primary feedstuff on benchmark farms in 202</w:t>
      </w:r>
      <w:r w:rsidR="00AA3320">
        <w:rPr>
          <w:b/>
          <w:bCs/>
          <w:sz w:val="22"/>
          <w:szCs w:val="22"/>
        </w:rPr>
        <w:t xml:space="preserve">4 </w:t>
      </w:r>
    </w:p>
    <w:p w14:paraId="2207BC39" w14:textId="77777777" w:rsidR="00CA1F7E" w:rsidRDefault="00CA1F7E" w:rsidP="00E27307">
      <w:pPr>
        <w:pStyle w:val="COPParagraph"/>
        <w:rPr>
          <w:sz w:val="22"/>
          <w:szCs w:val="22"/>
          <w:lang w:val="en-CA"/>
        </w:rPr>
      </w:pPr>
    </w:p>
    <w:p w14:paraId="371946F2" w14:textId="35C5B2BE" w:rsidR="00E27307" w:rsidRPr="002E6CD5" w:rsidRDefault="00E27307" w:rsidP="00E27307">
      <w:pPr>
        <w:pStyle w:val="COPParagraph"/>
        <w:rPr>
          <w:b/>
          <w:bCs/>
          <w:color w:val="EE0000"/>
          <w:sz w:val="22"/>
          <w:szCs w:val="22"/>
        </w:rPr>
      </w:pPr>
      <w:r>
        <w:rPr>
          <w:sz w:val="22"/>
          <w:szCs w:val="22"/>
          <w:lang w:val="en-CA"/>
        </w:rPr>
        <w:t>There is</w:t>
      </w:r>
      <w:r w:rsidRPr="00D51789">
        <w:rPr>
          <w:sz w:val="22"/>
          <w:szCs w:val="22"/>
          <w:lang w:val="en-CA"/>
        </w:rPr>
        <w:t xml:space="preserve"> a wide range of costs observed across different feed types</w:t>
      </w:r>
      <w:r>
        <w:rPr>
          <w:sz w:val="22"/>
          <w:szCs w:val="22"/>
          <w:lang w:val="en-CA"/>
        </w:rPr>
        <w:t xml:space="preserve"> (Figure 1)</w:t>
      </w:r>
      <w:r w:rsidRPr="00D51789">
        <w:rPr>
          <w:sz w:val="22"/>
          <w:szCs w:val="22"/>
          <w:lang w:val="en-CA"/>
        </w:rPr>
        <w:t xml:space="preserve">. Farms can </w:t>
      </w:r>
      <w:r>
        <w:rPr>
          <w:sz w:val="22"/>
          <w:szCs w:val="22"/>
          <w:lang w:val="en-CA"/>
        </w:rPr>
        <w:t>be</w:t>
      </w:r>
      <w:r w:rsidRPr="00D51789">
        <w:rPr>
          <w:sz w:val="22"/>
          <w:szCs w:val="22"/>
          <w:lang w:val="en-CA"/>
        </w:rPr>
        <w:t xml:space="preserve"> either high-cost or low-cost </w:t>
      </w:r>
      <w:r>
        <w:rPr>
          <w:sz w:val="22"/>
          <w:szCs w:val="22"/>
          <w:lang w:val="en-CA"/>
        </w:rPr>
        <w:t>using any of the feedstuffs</w:t>
      </w:r>
      <w:r w:rsidRPr="00D51789">
        <w:rPr>
          <w:sz w:val="22"/>
          <w:szCs w:val="22"/>
          <w:lang w:val="en-CA"/>
        </w:rPr>
        <w:t>. This suggests that it is not the feedstuff itself that determines whether a farm is high or low cost, but rather how effectively the manage</w:t>
      </w:r>
      <w:r>
        <w:rPr>
          <w:sz w:val="22"/>
          <w:szCs w:val="22"/>
          <w:lang w:val="en-CA"/>
        </w:rPr>
        <w:t>ment</w:t>
      </w:r>
      <w:r w:rsidRPr="00D51789">
        <w:rPr>
          <w:sz w:val="22"/>
          <w:szCs w:val="22"/>
          <w:lang w:val="en-CA"/>
        </w:rPr>
        <w:t xml:space="preserve"> and utiliz</w:t>
      </w:r>
      <w:r>
        <w:rPr>
          <w:sz w:val="22"/>
          <w:szCs w:val="22"/>
          <w:lang w:val="en-CA"/>
        </w:rPr>
        <w:t>ation</w:t>
      </w:r>
      <w:r w:rsidRPr="00D51789">
        <w:rPr>
          <w:sz w:val="22"/>
          <w:szCs w:val="22"/>
          <w:lang w:val="en-CA"/>
        </w:rPr>
        <w:t xml:space="preserve"> </w:t>
      </w:r>
      <w:r>
        <w:rPr>
          <w:sz w:val="22"/>
          <w:szCs w:val="22"/>
          <w:lang w:val="en-CA"/>
        </w:rPr>
        <w:t xml:space="preserve">is </w:t>
      </w:r>
      <w:r w:rsidRPr="00D51789">
        <w:rPr>
          <w:sz w:val="22"/>
          <w:szCs w:val="22"/>
          <w:lang w:val="en-CA"/>
        </w:rPr>
        <w:t xml:space="preserve">within </w:t>
      </w:r>
      <w:r w:rsidRPr="00D51789">
        <w:rPr>
          <w:sz w:val="22"/>
          <w:szCs w:val="22"/>
          <w:lang w:val="en-CA"/>
        </w:rPr>
        <w:lastRenderedPageBreak/>
        <w:t xml:space="preserve">the overall operation. Efficient management practices, rather than feed type alone, play a crucial role in controlling </w:t>
      </w:r>
      <w:r>
        <w:rPr>
          <w:sz w:val="22"/>
          <w:szCs w:val="22"/>
          <w:lang w:val="en-CA"/>
        </w:rPr>
        <w:t xml:space="preserve">feed </w:t>
      </w:r>
      <w:r w:rsidRPr="00D51789">
        <w:rPr>
          <w:sz w:val="22"/>
          <w:szCs w:val="22"/>
          <w:lang w:val="en-CA"/>
        </w:rPr>
        <w:t>costs.</w:t>
      </w:r>
    </w:p>
    <w:p w14:paraId="353EE898" w14:textId="1C032305" w:rsidR="00A778FF" w:rsidRPr="00801CA1" w:rsidRDefault="00801CA1" w:rsidP="00A877B1">
      <w:pPr>
        <w:pStyle w:val="COPParagraph"/>
        <w:rPr>
          <w:sz w:val="22"/>
          <w:szCs w:val="22"/>
          <w:lang w:val="en-CA"/>
        </w:rPr>
      </w:pPr>
      <w:r w:rsidRPr="00801CA1">
        <w:rPr>
          <w:sz w:val="22"/>
          <w:szCs w:val="22"/>
          <w:lang w:val="en-CA"/>
        </w:rPr>
        <w:t xml:space="preserve">As input costs rise, it has raised questions </w:t>
      </w:r>
      <w:r w:rsidR="00A10BF0">
        <w:rPr>
          <w:sz w:val="22"/>
          <w:szCs w:val="22"/>
          <w:lang w:val="en-CA"/>
        </w:rPr>
        <w:t>about</w:t>
      </w:r>
      <w:r w:rsidR="00A10BF0" w:rsidRPr="00801CA1">
        <w:rPr>
          <w:sz w:val="22"/>
          <w:szCs w:val="22"/>
          <w:lang w:val="en-CA"/>
        </w:rPr>
        <w:t xml:space="preserve"> </w:t>
      </w:r>
      <w:r w:rsidRPr="00801CA1">
        <w:rPr>
          <w:sz w:val="22"/>
          <w:szCs w:val="22"/>
          <w:lang w:val="en-CA"/>
        </w:rPr>
        <w:t xml:space="preserve">the relative competitiveness of different feedstuffs. </w:t>
      </w:r>
      <w:r w:rsidR="00E27307" w:rsidRPr="00801CA1">
        <w:rPr>
          <w:sz w:val="22"/>
          <w:szCs w:val="22"/>
          <w:lang w:val="en-CA"/>
        </w:rPr>
        <w:t xml:space="preserve">Over the last </w:t>
      </w:r>
      <w:r w:rsidRPr="00801CA1">
        <w:rPr>
          <w:sz w:val="22"/>
          <w:szCs w:val="22"/>
          <w:lang w:val="en-CA"/>
        </w:rPr>
        <w:t>five years</w:t>
      </w:r>
      <w:r w:rsidR="00E27307" w:rsidRPr="00801CA1">
        <w:rPr>
          <w:sz w:val="22"/>
          <w:szCs w:val="22"/>
          <w:lang w:val="en-CA"/>
        </w:rPr>
        <w:t xml:space="preserve"> Hay/Silage has seen the largest </w:t>
      </w:r>
      <w:r w:rsidR="002B33F6">
        <w:rPr>
          <w:sz w:val="22"/>
          <w:szCs w:val="22"/>
          <w:lang w:val="en-CA"/>
        </w:rPr>
        <w:t>i</w:t>
      </w:r>
      <w:r w:rsidR="00E27307" w:rsidRPr="00801CA1">
        <w:rPr>
          <w:sz w:val="22"/>
          <w:szCs w:val="22"/>
          <w:lang w:val="en-CA"/>
        </w:rPr>
        <w:t xml:space="preserve">ncrease </w:t>
      </w:r>
      <w:r w:rsidR="002B33F6">
        <w:rPr>
          <w:sz w:val="22"/>
          <w:szCs w:val="22"/>
          <w:lang w:val="en-CA"/>
        </w:rPr>
        <w:t>i</w:t>
      </w:r>
      <w:r w:rsidR="00E27307" w:rsidRPr="00801CA1">
        <w:rPr>
          <w:sz w:val="22"/>
          <w:szCs w:val="22"/>
          <w:lang w:val="en-CA"/>
        </w:rPr>
        <w:t>n cost structure at 53%; while Annuals/Silage has seen the smallest at 43%</w:t>
      </w:r>
      <w:r w:rsidRPr="00801CA1">
        <w:rPr>
          <w:sz w:val="22"/>
          <w:szCs w:val="22"/>
          <w:lang w:val="en-CA"/>
        </w:rPr>
        <w:t xml:space="preserve"> </w:t>
      </w:r>
      <w:r w:rsidR="009C0B3B">
        <w:rPr>
          <w:sz w:val="22"/>
          <w:szCs w:val="22"/>
          <w:lang w:val="en-CA"/>
        </w:rPr>
        <w:t xml:space="preserve">and </w:t>
      </w:r>
      <w:r w:rsidRPr="00801CA1">
        <w:rPr>
          <w:sz w:val="22"/>
          <w:szCs w:val="22"/>
          <w:lang w:val="en-CA"/>
        </w:rPr>
        <w:t xml:space="preserve">has maintained </w:t>
      </w:r>
      <w:r w:rsidR="007E5E93">
        <w:rPr>
          <w:sz w:val="22"/>
          <w:szCs w:val="22"/>
          <w:lang w:val="en-CA"/>
        </w:rPr>
        <w:t>i</w:t>
      </w:r>
      <w:r w:rsidRPr="00801CA1">
        <w:rPr>
          <w:sz w:val="22"/>
          <w:szCs w:val="22"/>
          <w:lang w:val="en-CA"/>
        </w:rPr>
        <w:t xml:space="preserve">ts position as the lowest cost on average. </w:t>
      </w:r>
    </w:p>
    <w:tbl>
      <w:tblPr>
        <w:tblW w:w="92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AE9F7" w:themeFill="text2" w:themeFillTint="1A"/>
        <w:tblLook w:val="04A0" w:firstRow="1" w:lastRow="0" w:firstColumn="1" w:lastColumn="0" w:noHBand="0" w:noVBand="1"/>
      </w:tblPr>
      <w:tblGrid>
        <w:gridCol w:w="2240"/>
        <w:gridCol w:w="1076"/>
        <w:gridCol w:w="1076"/>
        <w:gridCol w:w="1076"/>
        <w:gridCol w:w="1076"/>
        <w:gridCol w:w="1076"/>
        <w:gridCol w:w="1672"/>
      </w:tblGrid>
      <w:tr w:rsidR="00A778FF" w:rsidRPr="00A778FF" w14:paraId="14311856" w14:textId="77777777" w:rsidTr="00801CA1">
        <w:trPr>
          <w:trHeight w:val="91"/>
        </w:trPr>
        <w:tc>
          <w:tcPr>
            <w:tcW w:w="2240" w:type="dxa"/>
            <w:shd w:val="clear" w:color="auto" w:fill="DAE9F7" w:themeFill="text2" w:themeFillTint="1A"/>
            <w:noWrap/>
            <w:vAlign w:val="bottom"/>
            <w:hideMark/>
          </w:tcPr>
          <w:p w14:paraId="496DF02D" w14:textId="4879CD7E" w:rsidR="00A778FF" w:rsidRPr="00A778FF" w:rsidRDefault="00A778FF" w:rsidP="00A778FF">
            <w:pPr>
              <w:spacing w:after="0" w:line="240" w:lineRule="auto"/>
              <w:rPr>
                <w:rFonts w:ascii="Calibri" w:eastAsia="Times New Roman" w:hAnsi="Calibri" w:cs="Calibri"/>
                <w:b/>
                <w:bCs/>
                <w:color w:val="000000"/>
                <w:lang w:eastAsia="en-CA"/>
              </w:rPr>
            </w:pPr>
            <w:r w:rsidRPr="00A778FF">
              <w:rPr>
                <w:rFonts w:ascii="Calibri" w:eastAsia="Times New Roman" w:hAnsi="Calibri" w:cs="Calibri"/>
                <w:b/>
                <w:bCs/>
                <w:color w:val="000000"/>
                <w:lang w:eastAsia="en-CA"/>
              </w:rPr>
              <w:t>Approx Feed Costs</w:t>
            </w:r>
            <w:r w:rsidR="007D1941">
              <w:rPr>
                <w:rFonts w:ascii="Calibri" w:eastAsia="Times New Roman" w:hAnsi="Calibri" w:cs="Calibri"/>
                <w:b/>
                <w:bCs/>
                <w:color w:val="000000"/>
                <w:lang w:eastAsia="en-CA"/>
              </w:rPr>
              <w:t xml:space="preserve"> ($/cow)</w:t>
            </w:r>
          </w:p>
        </w:tc>
        <w:tc>
          <w:tcPr>
            <w:tcW w:w="1076" w:type="dxa"/>
            <w:shd w:val="clear" w:color="auto" w:fill="DAE9F7" w:themeFill="text2" w:themeFillTint="1A"/>
            <w:noWrap/>
            <w:vAlign w:val="bottom"/>
            <w:hideMark/>
          </w:tcPr>
          <w:p w14:paraId="19A3C9D6" w14:textId="77777777" w:rsidR="00A778FF" w:rsidRPr="00A778FF" w:rsidRDefault="00A778FF" w:rsidP="00A778FF">
            <w:pPr>
              <w:spacing w:after="0" w:line="240" w:lineRule="auto"/>
              <w:jc w:val="right"/>
              <w:rPr>
                <w:rFonts w:ascii="Calibri" w:eastAsia="Times New Roman" w:hAnsi="Calibri" w:cs="Calibri"/>
                <w:b/>
                <w:bCs/>
                <w:color w:val="000000"/>
                <w:lang w:eastAsia="en-CA"/>
              </w:rPr>
            </w:pPr>
            <w:r w:rsidRPr="00A778FF">
              <w:rPr>
                <w:rFonts w:ascii="Calibri" w:eastAsia="Times New Roman" w:hAnsi="Calibri" w:cs="Calibri"/>
                <w:b/>
                <w:bCs/>
                <w:color w:val="000000"/>
                <w:lang w:eastAsia="en-CA"/>
              </w:rPr>
              <w:t>2020</w:t>
            </w:r>
          </w:p>
        </w:tc>
        <w:tc>
          <w:tcPr>
            <w:tcW w:w="1076" w:type="dxa"/>
            <w:shd w:val="clear" w:color="auto" w:fill="DAE9F7" w:themeFill="text2" w:themeFillTint="1A"/>
            <w:noWrap/>
            <w:vAlign w:val="bottom"/>
            <w:hideMark/>
          </w:tcPr>
          <w:p w14:paraId="3B82E844" w14:textId="77777777" w:rsidR="00A778FF" w:rsidRPr="00A778FF" w:rsidRDefault="00A778FF" w:rsidP="00A778FF">
            <w:pPr>
              <w:spacing w:after="0" w:line="240" w:lineRule="auto"/>
              <w:jc w:val="right"/>
              <w:rPr>
                <w:rFonts w:ascii="Calibri" w:eastAsia="Times New Roman" w:hAnsi="Calibri" w:cs="Calibri"/>
                <w:b/>
                <w:bCs/>
                <w:color w:val="000000"/>
                <w:lang w:eastAsia="en-CA"/>
              </w:rPr>
            </w:pPr>
            <w:r w:rsidRPr="00A778FF">
              <w:rPr>
                <w:rFonts w:ascii="Calibri" w:eastAsia="Times New Roman" w:hAnsi="Calibri" w:cs="Calibri"/>
                <w:b/>
                <w:bCs/>
                <w:color w:val="000000"/>
                <w:lang w:eastAsia="en-CA"/>
              </w:rPr>
              <w:t>2021</w:t>
            </w:r>
          </w:p>
        </w:tc>
        <w:tc>
          <w:tcPr>
            <w:tcW w:w="1076" w:type="dxa"/>
            <w:shd w:val="clear" w:color="auto" w:fill="DAE9F7" w:themeFill="text2" w:themeFillTint="1A"/>
            <w:noWrap/>
            <w:vAlign w:val="bottom"/>
            <w:hideMark/>
          </w:tcPr>
          <w:p w14:paraId="28154428" w14:textId="77777777" w:rsidR="00A778FF" w:rsidRPr="00A778FF" w:rsidRDefault="00A778FF" w:rsidP="00A778FF">
            <w:pPr>
              <w:spacing w:after="0" w:line="240" w:lineRule="auto"/>
              <w:jc w:val="right"/>
              <w:rPr>
                <w:rFonts w:ascii="Calibri" w:eastAsia="Times New Roman" w:hAnsi="Calibri" w:cs="Calibri"/>
                <w:b/>
                <w:bCs/>
                <w:color w:val="000000"/>
                <w:lang w:eastAsia="en-CA"/>
              </w:rPr>
            </w:pPr>
            <w:r w:rsidRPr="00A778FF">
              <w:rPr>
                <w:rFonts w:ascii="Calibri" w:eastAsia="Times New Roman" w:hAnsi="Calibri" w:cs="Calibri"/>
                <w:b/>
                <w:bCs/>
                <w:color w:val="000000"/>
                <w:lang w:eastAsia="en-CA"/>
              </w:rPr>
              <w:t>2022</w:t>
            </w:r>
          </w:p>
        </w:tc>
        <w:tc>
          <w:tcPr>
            <w:tcW w:w="1076" w:type="dxa"/>
            <w:shd w:val="clear" w:color="auto" w:fill="DAE9F7" w:themeFill="text2" w:themeFillTint="1A"/>
            <w:noWrap/>
            <w:vAlign w:val="bottom"/>
            <w:hideMark/>
          </w:tcPr>
          <w:p w14:paraId="52E488FF" w14:textId="77777777" w:rsidR="00A778FF" w:rsidRPr="00A778FF" w:rsidRDefault="00A778FF" w:rsidP="00A778FF">
            <w:pPr>
              <w:spacing w:after="0" w:line="240" w:lineRule="auto"/>
              <w:jc w:val="right"/>
              <w:rPr>
                <w:rFonts w:ascii="Calibri" w:eastAsia="Times New Roman" w:hAnsi="Calibri" w:cs="Calibri"/>
                <w:b/>
                <w:bCs/>
                <w:color w:val="000000"/>
                <w:lang w:eastAsia="en-CA"/>
              </w:rPr>
            </w:pPr>
            <w:r w:rsidRPr="00A778FF">
              <w:rPr>
                <w:rFonts w:ascii="Calibri" w:eastAsia="Times New Roman" w:hAnsi="Calibri" w:cs="Calibri"/>
                <w:b/>
                <w:bCs/>
                <w:color w:val="000000"/>
                <w:lang w:eastAsia="en-CA"/>
              </w:rPr>
              <w:t>2023</w:t>
            </w:r>
          </w:p>
        </w:tc>
        <w:tc>
          <w:tcPr>
            <w:tcW w:w="1076" w:type="dxa"/>
            <w:shd w:val="clear" w:color="auto" w:fill="DAE9F7" w:themeFill="text2" w:themeFillTint="1A"/>
            <w:noWrap/>
            <w:vAlign w:val="bottom"/>
            <w:hideMark/>
          </w:tcPr>
          <w:p w14:paraId="24689001" w14:textId="77777777" w:rsidR="00A778FF" w:rsidRPr="00A778FF" w:rsidRDefault="00A778FF" w:rsidP="00A778FF">
            <w:pPr>
              <w:spacing w:after="0" w:line="240" w:lineRule="auto"/>
              <w:jc w:val="right"/>
              <w:rPr>
                <w:rFonts w:ascii="Calibri" w:eastAsia="Times New Roman" w:hAnsi="Calibri" w:cs="Calibri"/>
                <w:b/>
                <w:bCs/>
                <w:color w:val="000000"/>
                <w:lang w:eastAsia="en-CA"/>
              </w:rPr>
            </w:pPr>
            <w:r w:rsidRPr="00A778FF">
              <w:rPr>
                <w:rFonts w:ascii="Calibri" w:eastAsia="Times New Roman" w:hAnsi="Calibri" w:cs="Calibri"/>
                <w:b/>
                <w:bCs/>
                <w:color w:val="000000"/>
                <w:lang w:eastAsia="en-CA"/>
              </w:rPr>
              <w:t>2024</w:t>
            </w:r>
          </w:p>
        </w:tc>
        <w:tc>
          <w:tcPr>
            <w:tcW w:w="1672" w:type="dxa"/>
            <w:shd w:val="clear" w:color="auto" w:fill="DAE9F7" w:themeFill="text2" w:themeFillTint="1A"/>
            <w:noWrap/>
            <w:vAlign w:val="bottom"/>
            <w:hideMark/>
          </w:tcPr>
          <w:p w14:paraId="5A694962" w14:textId="313CCF8C" w:rsidR="00A778FF" w:rsidRPr="00A778FF" w:rsidRDefault="00A778FF" w:rsidP="00A778FF">
            <w:pPr>
              <w:spacing w:after="0" w:line="240" w:lineRule="auto"/>
              <w:jc w:val="right"/>
              <w:rPr>
                <w:rFonts w:ascii="Calibri" w:eastAsia="Times New Roman" w:hAnsi="Calibri" w:cs="Calibri"/>
                <w:b/>
                <w:bCs/>
                <w:color w:val="000000"/>
                <w:lang w:eastAsia="en-CA"/>
              </w:rPr>
            </w:pPr>
            <w:r>
              <w:rPr>
                <w:rFonts w:ascii="Calibri" w:eastAsia="Times New Roman" w:hAnsi="Calibri" w:cs="Calibri"/>
                <w:b/>
                <w:bCs/>
                <w:color w:val="000000"/>
                <w:lang w:eastAsia="en-CA"/>
              </w:rPr>
              <w:t>2024 vs. 2020</w:t>
            </w:r>
          </w:p>
        </w:tc>
      </w:tr>
      <w:tr w:rsidR="00A778FF" w:rsidRPr="00A778FF" w14:paraId="4C95BEBF" w14:textId="77777777" w:rsidTr="00801CA1">
        <w:trPr>
          <w:trHeight w:val="147"/>
        </w:trPr>
        <w:tc>
          <w:tcPr>
            <w:tcW w:w="2240" w:type="dxa"/>
            <w:shd w:val="clear" w:color="auto" w:fill="DAE9F7" w:themeFill="text2" w:themeFillTint="1A"/>
            <w:noWrap/>
            <w:vAlign w:val="center"/>
            <w:hideMark/>
          </w:tcPr>
          <w:p w14:paraId="3A7F45A7" w14:textId="77777777"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eastAsia="Times New Roman" w:hAnsi="Calibri" w:cs="Calibri"/>
                <w:color w:val="000000"/>
                <w:lang w:eastAsia="en-CA"/>
              </w:rPr>
              <w:t>Annuals/Hay</w:t>
            </w:r>
          </w:p>
        </w:tc>
        <w:tc>
          <w:tcPr>
            <w:tcW w:w="1076" w:type="dxa"/>
            <w:shd w:val="clear" w:color="auto" w:fill="DAE9F7" w:themeFill="text2" w:themeFillTint="1A"/>
            <w:noWrap/>
            <w:vAlign w:val="bottom"/>
            <w:hideMark/>
          </w:tcPr>
          <w:p w14:paraId="3F9FEA2A"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453</w:t>
            </w:r>
          </w:p>
        </w:tc>
        <w:tc>
          <w:tcPr>
            <w:tcW w:w="1076" w:type="dxa"/>
            <w:shd w:val="clear" w:color="auto" w:fill="DAE9F7" w:themeFill="text2" w:themeFillTint="1A"/>
            <w:noWrap/>
            <w:vAlign w:val="bottom"/>
            <w:hideMark/>
          </w:tcPr>
          <w:p w14:paraId="74E72692"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601</w:t>
            </w:r>
          </w:p>
        </w:tc>
        <w:tc>
          <w:tcPr>
            <w:tcW w:w="1076" w:type="dxa"/>
            <w:shd w:val="clear" w:color="auto" w:fill="DAE9F7" w:themeFill="text2" w:themeFillTint="1A"/>
            <w:noWrap/>
            <w:vAlign w:val="bottom"/>
            <w:hideMark/>
          </w:tcPr>
          <w:p w14:paraId="62BF9CA8"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605</w:t>
            </w:r>
          </w:p>
        </w:tc>
        <w:tc>
          <w:tcPr>
            <w:tcW w:w="1076" w:type="dxa"/>
            <w:shd w:val="clear" w:color="auto" w:fill="DAE9F7" w:themeFill="text2" w:themeFillTint="1A"/>
            <w:noWrap/>
            <w:vAlign w:val="bottom"/>
            <w:hideMark/>
          </w:tcPr>
          <w:p w14:paraId="6BE9CF57"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653</w:t>
            </w:r>
          </w:p>
        </w:tc>
        <w:tc>
          <w:tcPr>
            <w:tcW w:w="1076" w:type="dxa"/>
            <w:shd w:val="clear" w:color="auto" w:fill="DAE9F7" w:themeFill="text2" w:themeFillTint="1A"/>
            <w:noWrap/>
            <w:vAlign w:val="bottom"/>
            <w:hideMark/>
          </w:tcPr>
          <w:p w14:paraId="03C4358B"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681</w:t>
            </w:r>
          </w:p>
        </w:tc>
        <w:tc>
          <w:tcPr>
            <w:tcW w:w="1672" w:type="dxa"/>
            <w:shd w:val="clear" w:color="auto" w:fill="DAE9F7" w:themeFill="text2" w:themeFillTint="1A"/>
            <w:vAlign w:val="center"/>
            <w:hideMark/>
          </w:tcPr>
          <w:p w14:paraId="1946CF91"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50%</w:t>
            </w:r>
          </w:p>
        </w:tc>
      </w:tr>
      <w:tr w:rsidR="00A778FF" w:rsidRPr="00A778FF" w14:paraId="23E2A28B" w14:textId="77777777" w:rsidTr="00801CA1">
        <w:trPr>
          <w:trHeight w:val="104"/>
        </w:trPr>
        <w:tc>
          <w:tcPr>
            <w:tcW w:w="2240" w:type="dxa"/>
            <w:shd w:val="clear" w:color="auto" w:fill="DAE9F7" w:themeFill="text2" w:themeFillTint="1A"/>
            <w:noWrap/>
            <w:vAlign w:val="center"/>
            <w:hideMark/>
          </w:tcPr>
          <w:p w14:paraId="27C393C2" w14:textId="77777777"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eastAsia="Times New Roman" w:hAnsi="Calibri" w:cs="Calibri"/>
                <w:color w:val="000000"/>
                <w:lang w:eastAsia="en-CA"/>
              </w:rPr>
              <w:t>Annuals/Hay/Silage</w:t>
            </w:r>
          </w:p>
        </w:tc>
        <w:tc>
          <w:tcPr>
            <w:tcW w:w="1076" w:type="dxa"/>
            <w:shd w:val="clear" w:color="auto" w:fill="DAE9F7" w:themeFill="text2" w:themeFillTint="1A"/>
            <w:noWrap/>
            <w:vAlign w:val="bottom"/>
            <w:hideMark/>
          </w:tcPr>
          <w:p w14:paraId="1508424F"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410</w:t>
            </w:r>
          </w:p>
        </w:tc>
        <w:tc>
          <w:tcPr>
            <w:tcW w:w="1076" w:type="dxa"/>
            <w:shd w:val="clear" w:color="auto" w:fill="DAE9F7" w:themeFill="text2" w:themeFillTint="1A"/>
            <w:noWrap/>
            <w:vAlign w:val="bottom"/>
            <w:hideMark/>
          </w:tcPr>
          <w:p w14:paraId="78E49974"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586</w:t>
            </w:r>
          </w:p>
        </w:tc>
        <w:tc>
          <w:tcPr>
            <w:tcW w:w="1076" w:type="dxa"/>
            <w:shd w:val="clear" w:color="auto" w:fill="DAE9F7" w:themeFill="text2" w:themeFillTint="1A"/>
            <w:noWrap/>
            <w:vAlign w:val="bottom"/>
            <w:hideMark/>
          </w:tcPr>
          <w:p w14:paraId="74DFDF4A"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546</w:t>
            </w:r>
          </w:p>
        </w:tc>
        <w:tc>
          <w:tcPr>
            <w:tcW w:w="1076" w:type="dxa"/>
            <w:shd w:val="clear" w:color="auto" w:fill="DAE9F7" w:themeFill="text2" w:themeFillTint="1A"/>
            <w:noWrap/>
            <w:vAlign w:val="bottom"/>
            <w:hideMark/>
          </w:tcPr>
          <w:p w14:paraId="4B86064E"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601</w:t>
            </w:r>
          </w:p>
        </w:tc>
        <w:tc>
          <w:tcPr>
            <w:tcW w:w="1076" w:type="dxa"/>
            <w:shd w:val="clear" w:color="auto" w:fill="DAE9F7" w:themeFill="text2" w:themeFillTint="1A"/>
            <w:noWrap/>
            <w:vAlign w:val="bottom"/>
            <w:hideMark/>
          </w:tcPr>
          <w:p w14:paraId="6FACB1E1"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612</w:t>
            </w:r>
          </w:p>
        </w:tc>
        <w:tc>
          <w:tcPr>
            <w:tcW w:w="1672" w:type="dxa"/>
            <w:shd w:val="clear" w:color="auto" w:fill="DAE9F7" w:themeFill="text2" w:themeFillTint="1A"/>
            <w:vAlign w:val="center"/>
            <w:hideMark/>
          </w:tcPr>
          <w:p w14:paraId="4F30F2E2"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49%</w:t>
            </w:r>
          </w:p>
        </w:tc>
      </w:tr>
      <w:tr w:rsidR="00A778FF" w:rsidRPr="00A778FF" w14:paraId="7A327393" w14:textId="77777777" w:rsidTr="00801CA1">
        <w:trPr>
          <w:trHeight w:val="147"/>
        </w:trPr>
        <w:tc>
          <w:tcPr>
            <w:tcW w:w="2240" w:type="dxa"/>
            <w:shd w:val="clear" w:color="auto" w:fill="DAE9F7" w:themeFill="text2" w:themeFillTint="1A"/>
            <w:noWrap/>
            <w:vAlign w:val="center"/>
            <w:hideMark/>
          </w:tcPr>
          <w:p w14:paraId="48826B30" w14:textId="77777777"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eastAsia="Times New Roman" w:hAnsi="Calibri" w:cs="Calibri"/>
                <w:color w:val="000000"/>
                <w:lang w:eastAsia="en-CA"/>
              </w:rPr>
              <w:t>Annuals/Silage</w:t>
            </w:r>
          </w:p>
        </w:tc>
        <w:tc>
          <w:tcPr>
            <w:tcW w:w="1076" w:type="dxa"/>
            <w:shd w:val="clear" w:color="auto" w:fill="DAE9F7" w:themeFill="text2" w:themeFillTint="1A"/>
            <w:noWrap/>
            <w:vAlign w:val="bottom"/>
            <w:hideMark/>
          </w:tcPr>
          <w:p w14:paraId="4E56EF39"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342</w:t>
            </w:r>
          </w:p>
        </w:tc>
        <w:tc>
          <w:tcPr>
            <w:tcW w:w="1076" w:type="dxa"/>
            <w:shd w:val="clear" w:color="auto" w:fill="DAE9F7" w:themeFill="text2" w:themeFillTint="1A"/>
            <w:noWrap/>
            <w:vAlign w:val="bottom"/>
            <w:hideMark/>
          </w:tcPr>
          <w:p w14:paraId="78242EED"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568</w:t>
            </w:r>
          </w:p>
        </w:tc>
        <w:tc>
          <w:tcPr>
            <w:tcW w:w="1076" w:type="dxa"/>
            <w:shd w:val="clear" w:color="auto" w:fill="DAE9F7" w:themeFill="text2" w:themeFillTint="1A"/>
            <w:noWrap/>
            <w:vAlign w:val="bottom"/>
            <w:hideMark/>
          </w:tcPr>
          <w:p w14:paraId="1F293668"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480</w:t>
            </w:r>
          </w:p>
        </w:tc>
        <w:tc>
          <w:tcPr>
            <w:tcW w:w="1076" w:type="dxa"/>
            <w:shd w:val="clear" w:color="auto" w:fill="DAE9F7" w:themeFill="text2" w:themeFillTint="1A"/>
            <w:noWrap/>
            <w:vAlign w:val="bottom"/>
            <w:hideMark/>
          </w:tcPr>
          <w:p w14:paraId="0B18F473"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485</w:t>
            </w:r>
          </w:p>
        </w:tc>
        <w:tc>
          <w:tcPr>
            <w:tcW w:w="1076" w:type="dxa"/>
            <w:shd w:val="clear" w:color="auto" w:fill="DAE9F7" w:themeFill="text2" w:themeFillTint="1A"/>
            <w:noWrap/>
            <w:vAlign w:val="bottom"/>
            <w:hideMark/>
          </w:tcPr>
          <w:p w14:paraId="576689E3"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487</w:t>
            </w:r>
          </w:p>
        </w:tc>
        <w:tc>
          <w:tcPr>
            <w:tcW w:w="1672" w:type="dxa"/>
            <w:shd w:val="clear" w:color="auto" w:fill="DAE9F7" w:themeFill="text2" w:themeFillTint="1A"/>
            <w:vAlign w:val="center"/>
            <w:hideMark/>
          </w:tcPr>
          <w:p w14:paraId="13C4A674"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43%</w:t>
            </w:r>
          </w:p>
        </w:tc>
      </w:tr>
      <w:tr w:rsidR="00A778FF" w:rsidRPr="00A778FF" w14:paraId="187CFC4B" w14:textId="77777777" w:rsidTr="00801CA1">
        <w:trPr>
          <w:trHeight w:val="73"/>
        </w:trPr>
        <w:tc>
          <w:tcPr>
            <w:tcW w:w="2240" w:type="dxa"/>
            <w:shd w:val="clear" w:color="auto" w:fill="DAE9F7" w:themeFill="text2" w:themeFillTint="1A"/>
            <w:noWrap/>
            <w:vAlign w:val="center"/>
            <w:hideMark/>
          </w:tcPr>
          <w:p w14:paraId="7C88BA85" w14:textId="77777777"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eastAsia="Times New Roman" w:hAnsi="Calibri" w:cs="Calibri"/>
                <w:color w:val="000000"/>
                <w:lang w:eastAsia="en-CA"/>
              </w:rPr>
              <w:t>Hay</w:t>
            </w:r>
          </w:p>
        </w:tc>
        <w:tc>
          <w:tcPr>
            <w:tcW w:w="1076" w:type="dxa"/>
            <w:shd w:val="clear" w:color="auto" w:fill="DAE9F7" w:themeFill="text2" w:themeFillTint="1A"/>
            <w:noWrap/>
            <w:vAlign w:val="bottom"/>
            <w:hideMark/>
          </w:tcPr>
          <w:p w14:paraId="246884B7"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536</w:t>
            </w:r>
          </w:p>
        </w:tc>
        <w:tc>
          <w:tcPr>
            <w:tcW w:w="1076" w:type="dxa"/>
            <w:shd w:val="clear" w:color="auto" w:fill="DAE9F7" w:themeFill="text2" w:themeFillTint="1A"/>
            <w:noWrap/>
            <w:vAlign w:val="bottom"/>
            <w:hideMark/>
          </w:tcPr>
          <w:p w14:paraId="58B838D2"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625</w:t>
            </w:r>
          </w:p>
        </w:tc>
        <w:tc>
          <w:tcPr>
            <w:tcW w:w="1076" w:type="dxa"/>
            <w:shd w:val="clear" w:color="auto" w:fill="DAE9F7" w:themeFill="text2" w:themeFillTint="1A"/>
            <w:noWrap/>
            <w:vAlign w:val="bottom"/>
            <w:hideMark/>
          </w:tcPr>
          <w:p w14:paraId="2E68B00C"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697</w:t>
            </w:r>
          </w:p>
        </w:tc>
        <w:tc>
          <w:tcPr>
            <w:tcW w:w="1076" w:type="dxa"/>
            <w:shd w:val="clear" w:color="auto" w:fill="DAE9F7" w:themeFill="text2" w:themeFillTint="1A"/>
            <w:noWrap/>
            <w:vAlign w:val="bottom"/>
            <w:hideMark/>
          </w:tcPr>
          <w:p w14:paraId="01369B73"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746</w:t>
            </w:r>
          </w:p>
        </w:tc>
        <w:tc>
          <w:tcPr>
            <w:tcW w:w="1076" w:type="dxa"/>
            <w:shd w:val="clear" w:color="auto" w:fill="DAE9F7" w:themeFill="text2" w:themeFillTint="1A"/>
            <w:noWrap/>
            <w:vAlign w:val="bottom"/>
            <w:hideMark/>
          </w:tcPr>
          <w:p w14:paraId="26F62B26"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789</w:t>
            </w:r>
          </w:p>
        </w:tc>
        <w:tc>
          <w:tcPr>
            <w:tcW w:w="1672" w:type="dxa"/>
            <w:shd w:val="clear" w:color="auto" w:fill="DAE9F7" w:themeFill="text2" w:themeFillTint="1A"/>
            <w:vAlign w:val="center"/>
            <w:hideMark/>
          </w:tcPr>
          <w:p w14:paraId="4CE21644"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47%</w:t>
            </w:r>
          </w:p>
        </w:tc>
      </w:tr>
      <w:tr w:rsidR="00A778FF" w:rsidRPr="00A778FF" w14:paraId="2FA521A4" w14:textId="77777777" w:rsidTr="00801CA1">
        <w:trPr>
          <w:trHeight w:val="147"/>
        </w:trPr>
        <w:tc>
          <w:tcPr>
            <w:tcW w:w="2240" w:type="dxa"/>
            <w:shd w:val="clear" w:color="auto" w:fill="DAE9F7" w:themeFill="text2" w:themeFillTint="1A"/>
            <w:noWrap/>
            <w:vAlign w:val="center"/>
            <w:hideMark/>
          </w:tcPr>
          <w:p w14:paraId="0DE79347" w14:textId="77777777"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eastAsia="Times New Roman" w:hAnsi="Calibri" w:cs="Calibri"/>
                <w:color w:val="000000"/>
                <w:lang w:eastAsia="en-CA"/>
              </w:rPr>
              <w:t>Hay/Silage</w:t>
            </w:r>
          </w:p>
        </w:tc>
        <w:tc>
          <w:tcPr>
            <w:tcW w:w="1076" w:type="dxa"/>
            <w:shd w:val="clear" w:color="auto" w:fill="DAE9F7" w:themeFill="text2" w:themeFillTint="1A"/>
            <w:noWrap/>
            <w:vAlign w:val="bottom"/>
            <w:hideMark/>
          </w:tcPr>
          <w:p w14:paraId="0809CFF5"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401</w:t>
            </w:r>
          </w:p>
        </w:tc>
        <w:tc>
          <w:tcPr>
            <w:tcW w:w="1076" w:type="dxa"/>
            <w:shd w:val="clear" w:color="auto" w:fill="DAE9F7" w:themeFill="text2" w:themeFillTint="1A"/>
            <w:noWrap/>
            <w:vAlign w:val="bottom"/>
            <w:hideMark/>
          </w:tcPr>
          <w:p w14:paraId="7B7B9037"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528</w:t>
            </w:r>
          </w:p>
        </w:tc>
        <w:tc>
          <w:tcPr>
            <w:tcW w:w="1076" w:type="dxa"/>
            <w:shd w:val="clear" w:color="auto" w:fill="DAE9F7" w:themeFill="text2" w:themeFillTint="1A"/>
            <w:noWrap/>
            <w:vAlign w:val="bottom"/>
            <w:hideMark/>
          </w:tcPr>
          <w:p w14:paraId="4E58803F"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484</w:t>
            </w:r>
          </w:p>
        </w:tc>
        <w:tc>
          <w:tcPr>
            <w:tcW w:w="1076" w:type="dxa"/>
            <w:shd w:val="clear" w:color="auto" w:fill="DAE9F7" w:themeFill="text2" w:themeFillTint="1A"/>
            <w:noWrap/>
            <w:vAlign w:val="bottom"/>
            <w:hideMark/>
          </w:tcPr>
          <w:p w14:paraId="343CCAE0"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566</w:t>
            </w:r>
          </w:p>
        </w:tc>
        <w:tc>
          <w:tcPr>
            <w:tcW w:w="1076" w:type="dxa"/>
            <w:shd w:val="clear" w:color="auto" w:fill="DAE9F7" w:themeFill="text2" w:themeFillTint="1A"/>
            <w:noWrap/>
            <w:vAlign w:val="bottom"/>
            <w:hideMark/>
          </w:tcPr>
          <w:p w14:paraId="1B3FD2FC"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615</w:t>
            </w:r>
          </w:p>
        </w:tc>
        <w:tc>
          <w:tcPr>
            <w:tcW w:w="1672" w:type="dxa"/>
            <w:shd w:val="clear" w:color="auto" w:fill="DAE9F7" w:themeFill="text2" w:themeFillTint="1A"/>
            <w:vAlign w:val="center"/>
            <w:hideMark/>
          </w:tcPr>
          <w:p w14:paraId="7A8DDEB1" w14:textId="77777777" w:rsidR="00A778FF" w:rsidRPr="00A778FF" w:rsidRDefault="00A778FF" w:rsidP="00A778FF">
            <w:pPr>
              <w:spacing w:after="0" w:line="240" w:lineRule="auto"/>
              <w:jc w:val="right"/>
              <w:rPr>
                <w:rFonts w:ascii="Calibri" w:eastAsia="Times New Roman" w:hAnsi="Calibri" w:cs="Calibri"/>
                <w:color w:val="000000"/>
                <w:lang w:eastAsia="en-CA"/>
              </w:rPr>
            </w:pPr>
            <w:r w:rsidRPr="00A778FF">
              <w:rPr>
                <w:rFonts w:ascii="Calibri" w:eastAsia="Times New Roman" w:hAnsi="Calibri" w:cs="Calibri"/>
                <w:color w:val="000000"/>
                <w:lang w:eastAsia="en-CA"/>
              </w:rPr>
              <w:t>53%</w:t>
            </w:r>
          </w:p>
        </w:tc>
      </w:tr>
      <w:tr w:rsidR="00A778FF" w:rsidRPr="00A778FF" w14:paraId="71F7ECFC" w14:textId="77777777" w:rsidTr="00801CA1">
        <w:trPr>
          <w:trHeight w:val="147"/>
        </w:trPr>
        <w:tc>
          <w:tcPr>
            <w:tcW w:w="2240" w:type="dxa"/>
            <w:shd w:val="clear" w:color="auto" w:fill="DAE9F7" w:themeFill="text2" w:themeFillTint="1A"/>
            <w:noWrap/>
            <w:vAlign w:val="bottom"/>
          </w:tcPr>
          <w:p w14:paraId="15CB3C56" w14:textId="06967663"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eastAsia="Times New Roman" w:hAnsi="Calibri" w:cs="Calibri"/>
                <w:b/>
                <w:bCs/>
                <w:color w:val="000000"/>
                <w:lang w:eastAsia="en-CA"/>
              </w:rPr>
              <w:t>Daily Feed Costs</w:t>
            </w:r>
            <w:r w:rsidR="007D1941">
              <w:rPr>
                <w:rFonts w:ascii="Calibri" w:eastAsia="Times New Roman" w:hAnsi="Calibri" w:cs="Calibri"/>
                <w:b/>
                <w:bCs/>
                <w:color w:val="000000"/>
                <w:lang w:eastAsia="en-CA"/>
              </w:rPr>
              <w:t xml:space="preserve"> ($/hd/day)</w:t>
            </w:r>
          </w:p>
        </w:tc>
        <w:tc>
          <w:tcPr>
            <w:tcW w:w="1076" w:type="dxa"/>
            <w:shd w:val="clear" w:color="auto" w:fill="DAE9F7" w:themeFill="text2" w:themeFillTint="1A"/>
            <w:noWrap/>
            <w:vAlign w:val="bottom"/>
          </w:tcPr>
          <w:p w14:paraId="30D66318" w14:textId="11C6D168"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b/>
                <w:bCs/>
                <w:color w:val="000000"/>
              </w:rPr>
              <w:t>2020</w:t>
            </w:r>
          </w:p>
        </w:tc>
        <w:tc>
          <w:tcPr>
            <w:tcW w:w="1076" w:type="dxa"/>
            <w:shd w:val="clear" w:color="auto" w:fill="DAE9F7" w:themeFill="text2" w:themeFillTint="1A"/>
            <w:noWrap/>
            <w:vAlign w:val="bottom"/>
          </w:tcPr>
          <w:p w14:paraId="2BA45DDF" w14:textId="135C50A3"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b/>
                <w:bCs/>
                <w:color w:val="000000"/>
              </w:rPr>
              <w:t>2021</w:t>
            </w:r>
          </w:p>
        </w:tc>
        <w:tc>
          <w:tcPr>
            <w:tcW w:w="1076" w:type="dxa"/>
            <w:shd w:val="clear" w:color="auto" w:fill="DAE9F7" w:themeFill="text2" w:themeFillTint="1A"/>
            <w:noWrap/>
            <w:vAlign w:val="bottom"/>
          </w:tcPr>
          <w:p w14:paraId="5BB1F8CB" w14:textId="578E2620"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b/>
                <w:bCs/>
                <w:color w:val="000000"/>
              </w:rPr>
              <w:t>2022</w:t>
            </w:r>
          </w:p>
        </w:tc>
        <w:tc>
          <w:tcPr>
            <w:tcW w:w="1076" w:type="dxa"/>
            <w:shd w:val="clear" w:color="auto" w:fill="DAE9F7" w:themeFill="text2" w:themeFillTint="1A"/>
            <w:noWrap/>
            <w:vAlign w:val="bottom"/>
          </w:tcPr>
          <w:p w14:paraId="55A27A35" w14:textId="03597A36"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b/>
                <w:bCs/>
                <w:color w:val="000000"/>
              </w:rPr>
              <w:t>2023</w:t>
            </w:r>
          </w:p>
        </w:tc>
        <w:tc>
          <w:tcPr>
            <w:tcW w:w="1076" w:type="dxa"/>
            <w:shd w:val="clear" w:color="auto" w:fill="DAE9F7" w:themeFill="text2" w:themeFillTint="1A"/>
            <w:noWrap/>
            <w:vAlign w:val="bottom"/>
          </w:tcPr>
          <w:p w14:paraId="553723C3" w14:textId="1AB22244"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b/>
                <w:bCs/>
                <w:color w:val="000000"/>
              </w:rPr>
              <w:t>2024</w:t>
            </w:r>
          </w:p>
        </w:tc>
        <w:tc>
          <w:tcPr>
            <w:tcW w:w="1672" w:type="dxa"/>
            <w:shd w:val="clear" w:color="auto" w:fill="DAE9F7" w:themeFill="text2" w:themeFillTint="1A"/>
            <w:vAlign w:val="bottom"/>
          </w:tcPr>
          <w:p w14:paraId="3F63C7E2" w14:textId="4B70C61A" w:rsidR="00A778FF" w:rsidRPr="00A778FF" w:rsidRDefault="00E27307" w:rsidP="00A778FF">
            <w:pPr>
              <w:spacing w:after="0" w:line="240" w:lineRule="auto"/>
              <w:jc w:val="right"/>
              <w:rPr>
                <w:rFonts w:ascii="Calibri" w:eastAsia="Times New Roman" w:hAnsi="Calibri" w:cs="Calibri"/>
                <w:color w:val="000000"/>
                <w:lang w:eastAsia="en-CA"/>
              </w:rPr>
            </w:pPr>
            <w:r>
              <w:rPr>
                <w:rFonts w:ascii="Calibri" w:eastAsia="Times New Roman" w:hAnsi="Calibri" w:cs="Calibri"/>
                <w:b/>
                <w:bCs/>
                <w:color w:val="000000"/>
                <w:lang w:eastAsia="en-CA"/>
              </w:rPr>
              <w:t>2024 vs. 2020</w:t>
            </w:r>
          </w:p>
        </w:tc>
      </w:tr>
      <w:tr w:rsidR="00A778FF" w:rsidRPr="00A778FF" w14:paraId="2F5D1579" w14:textId="77777777" w:rsidTr="00801CA1">
        <w:trPr>
          <w:trHeight w:val="147"/>
        </w:trPr>
        <w:tc>
          <w:tcPr>
            <w:tcW w:w="2240" w:type="dxa"/>
            <w:shd w:val="clear" w:color="auto" w:fill="DAE9F7" w:themeFill="text2" w:themeFillTint="1A"/>
            <w:noWrap/>
            <w:vAlign w:val="center"/>
          </w:tcPr>
          <w:p w14:paraId="2B0AB362" w14:textId="3ED94A78"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hAnsi="Calibri" w:cs="Calibri"/>
                <w:color w:val="000000"/>
              </w:rPr>
              <w:t>Annuals/Hay</w:t>
            </w:r>
          </w:p>
        </w:tc>
        <w:tc>
          <w:tcPr>
            <w:tcW w:w="1076" w:type="dxa"/>
            <w:shd w:val="clear" w:color="auto" w:fill="DAE9F7" w:themeFill="text2" w:themeFillTint="1A"/>
            <w:noWrap/>
            <w:vAlign w:val="bottom"/>
          </w:tcPr>
          <w:p w14:paraId="549081FA" w14:textId="26F06973"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2.58</w:t>
            </w:r>
          </w:p>
        </w:tc>
        <w:tc>
          <w:tcPr>
            <w:tcW w:w="1076" w:type="dxa"/>
            <w:shd w:val="clear" w:color="auto" w:fill="DAE9F7" w:themeFill="text2" w:themeFillTint="1A"/>
            <w:noWrap/>
            <w:vAlign w:val="bottom"/>
          </w:tcPr>
          <w:p w14:paraId="46D749AF" w14:textId="2B21A2AE"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3.38</w:t>
            </w:r>
          </w:p>
        </w:tc>
        <w:tc>
          <w:tcPr>
            <w:tcW w:w="1076" w:type="dxa"/>
            <w:shd w:val="clear" w:color="auto" w:fill="DAE9F7" w:themeFill="text2" w:themeFillTint="1A"/>
            <w:noWrap/>
            <w:vAlign w:val="bottom"/>
          </w:tcPr>
          <w:p w14:paraId="4C328DB3" w14:textId="6D7D46A7"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3.43</w:t>
            </w:r>
          </w:p>
        </w:tc>
        <w:tc>
          <w:tcPr>
            <w:tcW w:w="1076" w:type="dxa"/>
            <w:shd w:val="clear" w:color="auto" w:fill="DAE9F7" w:themeFill="text2" w:themeFillTint="1A"/>
            <w:noWrap/>
            <w:vAlign w:val="bottom"/>
          </w:tcPr>
          <w:p w14:paraId="4A72DEAC" w14:textId="1871B0BA"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3.75</w:t>
            </w:r>
          </w:p>
        </w:tc>
        <w:tc>
          <w:tcPr>
            <w:tcW w:w="1076" w:type="dxa"/>
            <w:shd w:val="clear" w:color="auto" w:fill="DAE9F7" w:themeFill="text2" w:themeFillTint="1A"/>
            <w:noWrap/>
            <w:vAlign w:val="bottom"/>
          </w:tcPr>
          <w:p w14:paraId="33D553BD" w14:textId="2EFDEBB3"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3.90</w:t>
            </w:r>
          </w:p>
        </w:tc>
        <w:tc>
          <w:tcPr>
            <w:tcW w:w="1672" w:type="dxa"/>
            <w:shd w:val="clear" w:color="auto" w:fill="DAE9F7" w:themeFill="text2" w:themeFillTint="1A"/>
            <w:vAlign w:val="center"/>
          </w:tcPr>
          <w:p w14:paraId="19FA38AD" w14:textId="22786049"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51%</w:t>
            </w:r>
          </w:p>
        </w:tc>
      </w:tr>
      <w:tr w:rsidR="00A778FF" w:rsidRPr="00A778FF" w14:paraId="7A78C9A8" w14:textId="77777777" w:rsidTr="00801CA1">
        <w:trPr>
          <w:trHeight w:val="147"/>
        </w:trPr>
        <w:tc>
          <w:tcPr>
            <w:tcW w:w="2240" w:type="dxa"/>
            <w:shd w:val="clear" w:color="auto" w:fill="DAE9F7" w:themeFill="text2" w:themeFillTint="1A"/>
            <w:noWrap/>
            <w:vAlign w:val="center"/>
          </w:tcPr>
          <w:p w14:paraId="100D27FC" w14:textId="7F1289D6"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hAnsi="Calibri" w:cs="Calibri"/>
                <w:color w:val="000000"/>
              </w:rPr>
              <w:t>Annuals/Hay/Silage</w:t>
            </w:r>
          </w:p>
        </w:tc>
        <w:tc>
          <w:tcPr>
            <w:tcW w:w="1076" w:type="dxa"/>
            <w:shd w:val="clear" w:color="auto" w:fill="DAE9F7" w:themeFill="text2" w:themeFillTint="1A"/>
            <w:noWrap/>
            <w:vAlign w:val="bottom"/>
          </w:tcPr>
          <w:p w14:paraId="63C3A937" w14:textId="700A2556"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2.14</w:t>
            </w:r>
          </w:p>
        </w:tc>
        <w:tc>
          <w:tcPr>
            <w:tcW w:w="1076" w:type="dxa"/>
            <w:shd w:val="clear" w:color="auto" w:fill="DAE9F7" w:themeFill="text2" w:themeFillTint="1A"/>
            <w:noWrap/>
            <w:vAlign w:val="bottom"/>
          </w:tcPr>
          <w:p w14:paraId="643F856F" w14:textId="446AA841"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3.04</w:t>
            </w:r>
          </w:p>
        </w:tc>
        <w:tc>
          <w:tcPr>
            <w:tcW w:w="1076" w:type="dxa"/>
            <w:shd w:val="clear" w:color="auto" w:fill="DAE9F7" w:themeFill="text2" w:themeFillTint="1A"/>
            <w:noWrap/>
            <w:vAlign w:val="bottom"/>
          </w:tcPr>
          <w:p w14:paraId="73EEE716" w14:textId="7A0C5D7D"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2.84</w:t>
            </w:r>
          </w:p>
        </w:tc>
        <w:tc>
          <w:tcPr>
            <w:tcW w:w="1076" w:type="dxa"/>
            <w:shd w:val="clear" w:color="auto" w:fill="DAE9F7" w:themeFill="text2" w:themeFillTint="1A"/>
            <w:noWrap/>
            <w:vAlign w:val="bottom"/>
          </w:tcPr>
          <w:p w14:paraId="2F24292F" w14:textId="5C958837"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3.11</w:t>
            </w:r>
          </w:p>
        </w:tc>
        <w:tc>
          <w:tcPr>
            <w:tcW w:w="1076" w:type="dxa"/>
            <w:shd w:val="clear" w:color="auto" w:fill="DAE9F7" w:themeFill="text2" w:themeFillTint="1A"/>
            <w:noWrap/>
            <w:vAlign w:val="bottom"/>
          </w:tcPr>
          <w:p w14:paraId="194CC306" w14:textId="5E47F370"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3.17</w:t>
            </w:r>
          </w:p>
        </w:tc>
        <w:tc>
          <w:tcPr>
            <w:tcW w:w="1672" w:type="dxa"/>
            <w:shd w:val="clear" w:color="auto" w:fill="DAE9F7" w:themeFill="text2" w:themeFillTint="1A"/>
            <w:vAlign w:val="center"/>
          </w:tcPr>
          <w:p w14:paraId="30E27394" w14:textId="67AEA832"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48%</w:t>
            </w:r>
          </w:p>
        </w:tc>
      </w:tr>
      <w:tr w:rsidR="00A778FF" w:rsidRPr="00A778FF" w14:paraId="6DA93FE4" w14:textId="77777777" w:rsidTr="00801CA1">
        <w:trPr>
          <w:trHeight w:val="147"/>
        </w:trPr>
        <w:tc>
          <w:tcPr>
            <w:tcW w:w="2240" w:type="dxa"/>
            <w:shd w:val="clear" w:color="auto" w:fill="DAE9F7" w:themeFill="text2" w:themeFillTint="1A"/>
            <w:noWrap/>
            <w:vAlign w:val="center"/>
          </w:tcPr>
          <w:p w14:paraId="4088EBFD" w14:textId="32776254"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hAnsi="Calibri" w:cs="Calibri"/>
                <w:color w:val="000000"/>
              </w:rPr>
              <w:t>Annuals/Silage</w:t>
            </w:r>
          </w:p>
        </w:tc>
        <w:tc>
          <w:tcPr>
            <w:tcW w:w="1076" w:type="dxa"/>
            <w:shd w:val="clear" w:color="auto" w:fill="DAE9F7" w:themeFill="text2" w:themeFillTint="1A"/>
            <w:noWrap/>
            <w:vAlign w:val="bottom"/>
          </w:tcPr>
          <w:p w14:paraId="5FD20CDE" w14:textId="504735CC"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1.71</w:t>
            </w:r>
          </w:p>
        </w:tc>
        <w:tc>
          <w:tcPr>
            <w:tcW w:w="1076" w:type="dxa"/>
            <w:shd w:val="clear" w:color="auto" w:fill="DAE9F7" w:themeFill="text2" w:themeFillTint="1A"/>
            <w:noWrap/>
            <w:vAlign w:val="bottom"/>
          </w:tcPr>
          <w:p w14:paraId="18449730" w14:textId="4AC5A48C"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2.84</w:t>
            </w:r>
          </w:p>
        </w:tc>
        <w:tc>
          <w:tcPr>
            <w:tcW w:w="1076" w:type="dxa"/>
            <w:shd w:val="clear" w:color="auto" w:fill="DAE9F7" w:themeFill="text2" w:themeFillTint="1A"/>
            <w:noWrap/>
            <w:vAlign w:val="bottom"/>
          </w:tcPr>
          <w:p w14:paraId="1A68CD8E" w14:textId="476B891C"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2.40</w:t>
            </w:r>
          </w:p>
        </w:tc>
        <w:tc>
          <w:tcPr>
            <w:tcW w:w="1076" w:type="dxa"/>
            <w:shd w:val="clear" w:color="auto" w:fill="DAE9F7" w:themeFill="text2" w:themeFillTint="1A"/>
            <w:noWrap/>
            <w:vAlign w:val="bottom"/>
          </w:tcPr>
          <w:p w14:paraId="41A26E24" w14:textId="6F978C1B"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2.43</w:t>
            </w:r>
          </w:p>
        </w:tc>
        <w:tc>
          <w:tcPr>
            <w:tcW w:w="1076" w:type="dxa"/>
            <w:shd w:val="clear" w:color="auto" w:fill="DAE9F7" w:themeFill="text2" w:themeFillTint="1A"/>
            <w:noWrap/>
            <w:vAlign w:val="bottom"/>
          </w:tcPr>
          <w:p w14:paraId="0F6845B4" w14:textId="0952FF7C"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2.44</w:t>
            </w:r>
          </w:p>
        </w:tc>
        <w:tc>
          <w:tcPr>
            <w:tcW w:w="1672" w:type="dxa"/>
            <w:shd w:val="clear" w:color="auto" w:fill="DAE9F7" w:themeFill="text2" w:themeFillTint="1A"/>
            <w:vAlign w:val="center"/>
          </w:tcPr>
          <w:p w14:paraId="2E46D013" w14:textId="2B847D22"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43%</w:t>
            </w:r>
          </w:p>
        </w:tc>
      </w:tr>
      <w:tr w:rsidR="00A778FF" w:rsidRPr="00A778FF" w14:paraId="2D52E184" w14:textId="77777777" w:rsidTr="00801CA1">
        <w:trPr>
          <w:trHeight w:val="147"/>
        </w:trPr>
        <w:tc>
          <w:tcPr>
            <w:tcW w:w="2240" w:type="dxa"/>
            <w:shd w:val="clear" w:color="auto" w:fill="DAE9F7" w:themeFill="text2" w:themeFillTint="1A"/>
            <w:noWrap/>
            <w:vAlign w:val="center"/>
          </w:tcPr>
          <w:p w14:paraId="4E11F199" w14:textId="14C14D1B"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hAnsi="Calibri" w:cs="Calibri"/>
                <w:color w:val="000000"/>
              </w:rPr>
              <w:t>Hay</w:t>
            </w:r>
          </w:p>
        </w:tc>
        <w:tc>
          <w:tcPr>
            <w:tcW w:w="1076" w:type="dxa"/>
            <w:shd w:val="clear" w:color="auto" w:fill="DAE9F7" w:themeFill="text2" w:themeFillTint="1A"/>
            <w:noWrap/>
            <w:vAlign w:val="bottom"/>
          </w:tcPr>
          <w:p w14:paraId="216E6163" w14:textId="56E7C021"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2.82</w:t>
            </w:r>
          </w:p>
        </w:tc>
        <w:tc>
          <w:tcPr>
            <w:tcW w:w="1076" w:type="dxa"/>
            <w:shd w:val="clear" w:color="auto" w:fill="DAE9F7" w:themeFill="text2" w:themeFillTint="1A"/>
            <w:noWrap/>
            <w:vAlign w:val="bottom"/>
          </w:tcPr>
          <w:p w14:paraId="229ACE89" w14:textId="1B466E05"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3.32</w:t>
            </w:r>
          </w:p>
        </w:tc>
        <w:tc>
          <w:tcPr>
            <w:tcW w:w="1076" w:type="dxa"/>
            <w:shd w:val="clear" w:color="auto" w:fill="DAE9F7" w:themeFill="text2" w:themeFillTint="1A"/>
            <w:noWrap/>
            <w:vAlign w:val="bottom"/>
          </w:tcPr>
          <w:p w14:paraId="27F220C2" w14:textId="0377C507"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3.70</w:t>
            </w:r>
          </w:p>
        </w:tc>
        <w:tc>
          <w:tcPr>
            <w:tcW w:w="1076" w:type="dxa"/>
            <w:shd w:val="clear" w:color="auto" w:fill="DAE9F7" w:themeFill="text2" w:themeFillTint="1A"/>
            <w:noWrap/>
            <w:vAlign w:val="bottom"/>
          </w:tcPr>
          <w:p w14:paraId="0EDF74CB" w14:textId="23E6D7C1"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3.99</w:t>
            </w:r>
          </w:p>
        </w:tc>
        <w:tc>
          <w:tcPr>
            <w:tcW w:w="1076" w:type="dxa"/>
            <w:shd w:val="clear" w:color="auto" w:fill="DAE9F7" w:themeFill="text2" w:themeFillTint="1A"/>
            <w:noWrap/>
            <w:vAlign w:val="bottom"/>
          </w:tcPr>
          <w:p w14:paraId="2D9039B5" w14:textId="501FEBD2"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4.19</w:t>
            </w:r>
          </w:p>
        </w:tc>
        <w:tc>
          <w:tcPr>
            <w:tcW w:w="1672" w:type="dxa"/>
            <w:shd w:val="clear" w:color="auto" w:fill="DAE9F7" w:themeFill="text2" w:themeFillTint="1A"/>
            <w:vAlign w:val="center"/>
          </w:tcPr>
          <w:p w14:paraId="1102A3CE" w14:textId="5604A2FE"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49%</w:t>
            </w:r>
          </w:p>
        </w:tc>
      </w:tr>
      <w:tr w:rsidR="00A778FF" w:rsidRPr="00A778FF" w14:paraId="3071666A" w14:textId="77777777" w:rsidTr="00801CA1">
        <w:trPr>
          <w:trHeight w:val="147"/>
        </w:trPr>
        <w:tc>
          <w:tcPr>
            <w:tcW w:w="2240" w:type="dxa"/>
            <w:shd w:val="clear" w:color="auto" w:fill="DAE9F7" w:themeFill="text2" w:themeFillTint="1A"/>
            <w:noWrap/>
            <w:vAlign w:val="center"/>
          </w:tcPr>
          <w:p w14:paraId="399DA7CE" w14:textId="0AEDC9E3" w:rsidR="00A778FF" w:rsidRPr="00A778FF" w:rsidRDefault="00A778FF" w:rsidP="00A778FF">
            <w:pPr>
              <w:spacing w:after="0" w:line="240" w:lineRule="auto"/>
              <w:rPr>
                <w:rFonts w:ascii="Calibri" w:eastAsia="Times New Roman" w:hAnsi="Calibri" w:cs="Calibri"/>
                <w:color w:val="000000"/>
                <w:lang w:eastAsia="en-CA"/>
              </w:rPr>
            </w:pPr>
            <w:r w:rsidRPr="00A778FF">
              <w:rPr>
                <w:rFonts w:ascii="Calibri" w:hAnsi="Calibri" w:cs="Calibri"/>
                <w:color w:val="000000"/>
              </w:rPr>
              <w:t>Hay/Silage</w:t>
            </w:r>
          </w:p>
        </w:tc>
        <w:tc>
          <w:tcPr>
            <w:tcW w:w="1076" w:type="dxa"/>
            <w:shd w:val="clear" w:color="auto" w:fill="DAE9F7" w:themeFill="text2" w:themeFillTint="1A"/>
            <w:noWrap/>
            <w:vAlign w:val="bottom"/>
          </w:tcPr>
          <w:p w14:paraId="703B6133" w14:textId="13C296D8"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2.00</w:t>
            </w:r>
          </w:p>
        </w:tc>
        <w:tc>
          <w:tcPr>
            <w:tcW w:w="1076" w:type="dxa"/>
            <w:shd w:val="clear" w:color="auto" w:fill="DAE9F7" w:themeFill="text2" w:themeFillTint="1A"/>
            <w:noWrap/>
            <w:vAlign w:val="bottom"/>
          </w:tcPr>
          <w:p w14:paraId="310CD9CA" w14:textId="77F78384"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2.67</w:t>
            </w:r>
          </w:p>
        </w:tc>
        <w:tc>
          <w:tcPr>
            <w:tcW w:w="1076" w:type="dxa"/>
            <w:shd w:val="clear" w:color="auto" w:fill="DAE9F7" w:themeFill="text2" w:themeFillTint="1A"/>
            <w:noWrap/>
            <w:vAlign w:val="bottom"/>
          </w:tcPr>
          <w:p w14:paraId="550BE263" w14:textId="24CE4675"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2.42</w:t>
            </w:r>
          </w:p>
        </w:tc>
        <w:tc>
          <w:tcPr>
            <w:tcW w:w="1076" w:type="dxa"/>
            <w:shd w:val="clear" w:color="auto" w:fill="DAE9F7" w:themeFill="text2" w:themeFillTint="1A"/>
            <w:noWrap/>
            <w:vAlign w:val="bottom"/>
          </w:tcPr>
          <w:p w14:paraId="43F8DF29" w14:textId="69EFC8F9"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2.82</w:t>
            </w:r>
          </w:p>
        </w:tc>
        <w:tc>
          <w:tcPr>
            <w:tcW w:w="1076" w:type="dxa"/>
            <w:shd w:val="clear" w:color="auto" w:fill="DAE9F7" w:themeFill="text2" w:themeFillTint="1A"/>
            <w:noWrap/>
            <w:vAlign w:val="bottom"/>
          </w:tcPr>
          <w:p w14:paraId="3D95F0A6" w14:textId="73A6C4D5"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3.06</w:t>
            </w:r>
          </w:p>
        </w:tc>
        <w:tc>
          <w:tcPr>
            <w:tcW w:w="1672" w:type="dxa"/>
            <w:shd w:val="clear" w:color="auto" w:fill="DAE9F7" w:themeFill="text2" w:themeFillTint="1A"/>
            <w:vAlign w:val="center"/>
          </w:tcPr>
          <w:p w14:paraId="3C3DF875" w14:textId="7424036A" w:rsidR="00A778FF" w:rsidRPr="00A778FF" w:rsidRDefault="00A778FF" w:rsidP="00A778FF">
            <w:pPr>
              <w:spacing w:after="0" w:line="240" w:lineRule="auto"/>
              <w:jc w:val="right"/>
              <w:rPr>
                <w:rFonts w:ascii="Calibri" w:eastAsia="Times New Roman" w:hAnsi="Calibri" w:cs="Calibri"/>
                <w:color w:val="000000"/>
                <w:lang w:eastAsia="en-CA"/>
              </w:rPr>
            </w:pPr>
            <w:r>
              <w:rPr>
                <w:rFonts w:ascii="Calibri" w:hAnsi="Calibri" w:cs="Calibri"/>
                <w:color w:val="000000"/>
              </w:rPr>
              <w:t>53%</w:t>
            </w:r>
          </w:p>
        </w:tc>
      </w:tr>
    </w:tbl>
    <w:p w14:paraId="75F2CDDC" w14:textId="14A5F79F" w:rsidR="00A877B1" w:rsidRDefault="00FD7C2E" w:rsidP="00207711">
      <w:pPr>
        <w:pStyle w:val="Heading1"/>
      </w:pPr>
      <w:r>
        <w:t>Cost effective forage production</w:t>
      </w:r>
      <w:r w:rsidR="007424C7">
        <w:t xml:space="preserve"> </w:t>
      </w:r>
    </w:p>
    <w:p w14:paraId="3F4B9E57" w14:textId="0D28177C" w:rsidR="007424C7" w:rsidRPr="00EE5A76" w:rsidRDefault="00945674" w:rsidP="00207711">
      <w:pPr>
        <w:pStyle w:val="COPParagraph"/>
        <w:rPr>
          <w:sz w:val="22"/>
          <w:szCs w:val="22"/>
        </w:rPr>
      </w:pPr>
      <w:r w:rsidRPr="00945674">
        <w:rPr>
          <w:noProof/>
          <w:sz w:val="22"/>
          <w:szCs w:val="22"/>
        </w:rPr>
        <mc:AlternateContent>
          <mc:Choice Requires="wps">
            <w:drawing>
              <wp:anchor distT="45720" distB="45720" distL="114300" distR="114300" simplePos="0" relativeHeight="251663360" behindDoc="0" locked="0" layoutInCell="1" allowOverlap="1" wp14:anchorId="461E1346" wp14:editId="7D6F191B">
                <wp:simplePos x="0" y="0"/>
                <wp:positionH relativeFrom="margin">
                  <wp:posOffset>3637390</wp:posOffset>
                </wp:positionH>
                <wp:positionV relativeFrom="paragraph">
                  <wp:posOffset>336550</wp:posOffset>
                </wp:positionV>
                <wp:extent cx="2314575" cy="1404620"/>
                <wp:effectExtent l="0" t="0" r="28575" b="14605"/>
                <wp:wrapSquare wrapText="bothSides"/>
                <wp:docPr id="1824952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4620"/>
                        </a:xfrm>
                        <a:prstGeom prst="rect">
                          <a:avLst/>
                        </a:prstGeom>
                        <a:solidFill>
                          <a:schemeClr val="accent2">
                            <a:lumMod val="20000"/>
                            <a:lumOff val="80000"/>
                          </a:schemeClr>
                        </a:solidFill>
                        <a:ln w="9525">
                          <a:solidFill>
                            <a:schemeClr val="bg1"/>
                          </a:solidFill>
                          <a:miter lim="800000"/>
                          <a:headEnd/>
                          <a:tailEnd/>
                        </a:ln>
                      </wps:spPr>
                      <wps:txbx>
                        <w:txbxContent>
                          <w:p w14:paraId="19E63DE4" w14:textId="77777777" w:rsidR="00945674" w:rsidRPr="00207711" w:rsidRDefault="00945674" w:rsidP="00945674">
                            <w:pPr>
                              <w:rPr>
                                <w:rFonts w:ascii="Calibri" w:hAnsi="Calibri" w:cs="Calibri"/>
                              </w:rPr>
                            </w:pPr>
                            <w:r w:rsidRPr="00207711">
                              <w:rPr>
                                <w:rFonts w:ascii="Calibri" w:hAnsi="Calibri" w:cs="Calibri"/>
                              </w:rPr>
                              <w:t xml:space="preserve">It is not because things are difficult that we do not dare; it is because we do not dare that things are difficult. ~ </w:t>
                            </w:r>
                            <w:r w:rsidRPr="00207711">
                              <w:rPr>
                                <w:rFonts w:ascii="Calibri" w:hAnsi="Calibri" w:cs="Calibri"/>
                                <w:i/>
                                <w:iCs/>
                              </w:rPr>
                              <w:t>Seneca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E1346" id="_x0000_s1028" type="#_x0000_t202" style="position:absolute;left:0;text-align:left;margin-left:286.4pt;margin-top:26.5pt;width:182.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" fillcolor="#fae2d5 [661]" strokecolor="white [3212]">
                <v:textbox style="mso-fit-shape-to-text:t">
                  <w:txbxContent>
                    <w:p w14:paraId="19E63DE4" w14:textId="77777777" w:rsidR="00945674" w:rsidRPr="00207711" w:rsidRDefault="00945674" w:rsidP="00945674">
                      <w:pPr>
                        <w:rPr>
                          <w:rFonts w:ascii="Calibri" w:hAnsi="Calibri" w:cs="Calibri"/>
                        </w:rPr>
                      </w:pPr>
                      <w:r w:rsidRPr="00207711">
                        <w:rPr>
                          <w:rFonts w:ascii="Calibri" w:hAnsi="Calibri" w:cs="Calibri"/>
                        </w:rPr>
                        <w:t xml:space="preserve">It is not because things are difficult that we do not dare; it is because we do not dare that things are difficult. ~ </w:t>
                      </w:r>
                      <w:r w:rsidRPr="00207711">
                        <w:rPr>
                          <w:rFonts w:ascii="Calibri" w:hAnsi="Calibri" w:cs="Calibri"/>
                          <w:i/>
                          <w:iCs/>
                        </w:rPr>
                        <w:t>Seneca</w:t>
                      </w:r>
                    </w:p>
                  </w:txbxContent>
                </v:textbox>
                <w10:wrap type="square" anchorx="margin"/>
              </v:shape>
            </w:pict>
          </mc:Fallback>
        </mc:AlternateContent>
      </w:r>
      <w:r w:rsidR="00634980" w:rsidRPr="00EE5A76">
        <w:rPr>
          <w:sz w:val="22"/>
          <w:szCs w:val="22"/>
        </w:rPr>
        <w:t xml:space="preserve">While </w:t>
      </w:r>
      <w:r w:rsidR="005B2ED5">
        <w:rPr>
          <w:sz w:val="22"/>
          <w:szCs w:val="22"/>
        </w:rPr>
        <w:t xml:space="preserve">relatively </w:t>
      </w:r>
      <w:r w:rsidR="00634980" w:rsidRPr="00EE5A76">
        <w:rPr>
          <w:sz w:val="22"/>
          <w:szCs w:val="22"/>
        </w:rPr>
        <w:t xml:space="preserve">higher productive regions have a yield advantage that supports competitiveness </w:t>
      </w:r>
      <w:r w:rsidR="005B2ED5">
        <w:rPr>
          <w:sz w:val="22"/>
          <w:szCs w:val="22"/>
        </w:rPr>
        <w:t>i</w:t>
      </w:r>
      <w:r w:rsidR="00634980" w:rsidRPr="00EE5A76">
        <w:rPr>
          <w:sz w:val="22"/>
          <w:szCs w:val="22"/>
        </w:rPr>
        <w:t xml:space="preserve">t is possible for lower productive regions to be cost competitive. </w:t>
      </w:r>
    </w:p>
    <w:p w14:paraId="22DEDAAF" w14:textId="005B9320" w:rsidR="007424C7" w:rsidRPr="00EE5A76" w:rsidRDefault="007424C7" w:rsidP="00207711">
      <w:pPr>
        <w:pStyle w:val="COPParagraph"/>
        <w:numPr>
          <w:ilvl w:val="0"/>
          <w:numId w:val="4"/>
        </w:numPr>
        <w:rPr>
          <w:sz w:val="22"/>
          <w:szCs w:val="22"/>
        </w:rPr>
      </w:pPr>
      <w:r w:rsidRPr="00EE5A76">
        <w:rPr>
          <w:b/>
          <w:bCs/>
          <w:sz w:val="22"/>
          <w:szCs w:val="22"/>
        </w:rPr>
        <w:t xml:space="preserve">Forage Yield per Acre </w:t>
      </w:r>
      <w:r w:rsidRPr="00EE5A76">
        <w:rPr>
          <w:sz w:val="22"/>
          <w:szCs w:val="22"/>
        </w:rPr>
        <w:t xml:space="preserve">- select species </w:t>
      </w:r>
      <w:r w:rsidR="004A1FBE" w:rsidRPr="00EE5A76">
        <w:rPr>
          <w:sz w:val="22"/>
          <w:szCs w:val="22"/>
        </w:rPr>
        <w:t xml:space="preserve">and varieties </w:t>
      </w:r>
      <w:r w:rsidRPr="00EE5A76">
        <w:rPr>
          <w:sz w:val="22"/>
          <w:szCs w:val="22"/>
        </w:rPr>
        <w:t xml:space="preserve">appropriate for your </w:t>
      </w:r>
      <w:r w:rsidR="004A1FBE" w:rsidRPr="00EE5A76">
        <w:rPr>
          <w:sz w:val="22"/>
          <w:szCs w:val="22"/>
        </w:rPr>
        <w:t>soil</w:t>
      </w:r>
      <w:r w:rsidR="00ED51D7">
        <w:rPr>
          <w:sz w:val="22"/>
          <w:szCs w:val="22"/>
        </w:rPr>
        <w:t xml:space="preserve"> type</w:t>
      </w:r>
      <w:r w:rsidR="004A1FBE" w:rsidRPr="00EE5A76">
        <w:rPr>
          <w:sz w:val="22"/>
          <w:szCs w:val="22"/>
        </w:rPr>
        <w:t>, moisture</w:t>
      </w:r>
      <w:r w:rsidR="00ED51D7">
        <w:rPr>
          <w:sz w:val="22"/>
          <w:szCs w:val="22"/>
        </w:rPr>
        <w:t xml:space="preserve"> conditions</w:t>
      </w:r>
      <w:r w:rsidR="004A1FBE" w:rsidRPr="00EE5A76">
        <w:rPr>
          <w:sz w:val="22"/>
          <w:szCs w:val="22"/>
        </w:rPr>
        <w:t xml:space="preserve"> and growing season</w:t>
      </w:r>
      <w:r w:rsidR="00ED51D7">
        <w:rPr>
          <w:sz w:val="22"/>
          <w:szCs w:val="22"/>
        </w:rPr>
        <w:t>.</w:t>
      </w:r>
      <w:r w:rsidRPr="00EE5A76">
        <w:rPr>
          <w:sz w:val="22"/>
          <w:szCs w:val="22"/>
        </w:rPr>
        <w:t xml:space="preserve"> </w:t>
      </w:r>
      <w:r w:rsidR="00ED51D7">
        <w:rPr>
          <w:sz w:val="22"/>
          <w:szCs w:val="22"/>
        </w:rPr>
        <w:t>S</w:t>
      </w:r>
      <w:r w:rsidR="004A1FBE" w:rsidRPr="00EE5A76">
        <w:rPr>
          <w:sz w:val="22"/>
          <w:szCs w:val="22"/>
        </w:rPr>
        <w:t>oil test to manage fertility and pH if needed</w:t>
      </w:r>
      <w:r w:rsidR="00ED51D7">
        <w:rPr>
          <w:sz w:val="22"/>
          <w:szCs w:val="22"/>
        </w:rPr>
        <w:t>.</w:t>
      </w:r>
      <w:r w:rsidR="004A1FBE" w:rsidRPr="00EE5A76">
        <w:rPr>
          <w:sz w:val="22"/>
          <w:szCs w:val="22"/>
        </w:rPr>
        <w:t xml:space="preserve"> </w:t>
      </w:r>
      <w:r w:rsidR="00ED51D7">
        <w:rPr>
          <w:sz w:val="22"/>
          <w:szCs w:val="22"/>
        </w:rPr>
        <w:t>C</w:t>
      </w:r>
      <w:r w:rsidR="004A1FBE" w:rsidRPr="00EE5A76">
        <w:rPr>
          <w:sz w:val="22"/>
          <w:szCs w:val="22"/>
        </w:rPr>
        <w:t>ut at optimal maturity to balance yield and quality.</w:t>
      </w:r>
    </w:p>
    <w:p w14:paraId="3C6968F5" w14:textId="3AB8F699" w:rsidR="007424C7" w:rsidRPr="00EE5A76" w:rsidRDefault="004A1FBE" w:rsidP="00207711">
      <w:pPr>
        <w:pStyle w:val="COPParagraph"/>
        <w:numPr>
          <w:ilvl w:val="0"/>
          <w:numId w:val="4"/>
        </w:numPr>
        <w:rPr>
          <w:sz w:val="22"/>
          <w:szCs w:val="22"/>
        </w:rPr>
      </w:pPr>
      <w:r w:rsidRPr="00EE5A76">
        <w:rPr>
          <w:b/>
          <w:bCs/>
          <w:sz w:val="22"/>
          <w:szCs w:val="22"/>
        </w:rPr>
        <w:t xml:space="preserve">Reduce </w:t>
      </w:r>
      <w:r w:rsidR="007424C7" w:rsidRPr="00EE5A76">
        <w:rPr>
          <w:b/>
          <w:bCs/>
          <w:sz w:val="22"/>
          <w:szCs w:val="22"/>
        </w:rPr>
        <w:t xml:space="preserve">Harvest </w:t>
      </w:r>
      <w:r w:rsidR="00A06560">
        <w:rPr>
          <w:b/>
          <w:bCs/>
          <w:sz w:val="22"/>
          <w:szCs w:val="22"/>
        </w:rPr>
        <w:t>C</w:t>
      </w:r>
      <w:r w:rsidRPr="00EE5A76">
        <w:rPr>
          <w:b/>
          <w:bCs/>
          <w:sz w:val="22"/>
          <w:szCs w:val="22"/>
        </w:rPr>
        <w:t xml:space="preserve">osts and </w:t>
      </w:r>
      <w:r w:rsidR="00A06560">
        <w:rPr>
          <w:b/>
          <w:bCs/>
          <w:sz w:val="22"/>
          <w:szCs w:val="22"/>
        </w:rPr>
        <w:t>L</w:t>
      </w:r>
      <w:r w:rsidRPr="00EE5A76">
        <w:rPr>
          <w:b/>
          <w:bCs/>
          <w:sz w:val="22"/>
          <w:szCs w:val="22"/>
        </w:rPr>
        <w:t>osses</w:t>
      </w:r>
      <w:r w:rsidR="007424C7" w:rsidRPr="00EE5A76">
        <w:rPr>
          <w:sz w:val="22"/>
          <w:szCs w:val="22"/>
        </w:rPr>
        <w:t xml:space="preserve"> - </w:t>
      </w:r>
      <w:r w:rsidRPr="00EE5A76">
        <w:rPr>
          <w:sz w:val="22"/>
          <w:szCs w:val="22"/>
        </w:rPr>
        <w:t>minimize machinery</w:t>
      </w:r>
      <w:r w:rsidR="007424C7" w:rsidRPr="00EE5A76">
        <w:rPr>
          <w:sz w:val="22"/>
          <w:szCs w:val="22"/>
        </w:rPr>
        <w:t xml:space="preserve"> passes</w:t>
      </w:r>
      <w:r w:rsidR="0085365D">
        <w:rPr>
          <w:sz w:val="22"/>
          <w:szCs w:val="22"/>
        </w:rPr>
        <w:t>. O</w:t>
      </w:r>
      <w:r w:rsidRPr="00EE5A76">
        <w:rPr>
          <w:sz w:val="22"/>
          <w:szCs w:val="22"/>
        </w:rPr>
        <w:t>ptimize</w:t>
      </w:r>
      <w:r w:rsidR="007424C7" w:rsidRPr="00EE5A76">
        <w:rPr>
          <w:sz w:val="22"/>
          <w:szCs w:val="22"/>
        </w:rPr>
        <w:t xml:space="preserve"> bale size</w:t>
      </w:r>
      <w:r w:rsidRPr="00EE5A76">
        <w:rPr>
          <w:sz w:val="22"/>
          <w:szCs w:val="22"/>
        </w:rPr>
        <w:t xml:space="preserve"> and density</w:t>
      </w:r>
      <w:r w:rsidR="007424C7" w:rsidRPr="00EE5A76">
        <w:rPr>
          <w:sz w:val="22"/>
          <w:szCs w:val="22"/>
        </w:rPr>
        <w:t xml:space="preserve"> to reduce </w:t>
      </w:r>
      <w:r w:rsidRPr="00EE5A76">
        <w:rPr>
          <w:sz w:val="22"/>
          <w:szCs w:val="22"/>
        </w:rPr>
        <w:t>labour, transport and storage costs.</w:t>
      </w:r>
    </w:p>
    <w:p w14:paraId="4EAB864F" w14:textId="549ED778" w:rsidR="007424C7" w:rsidRPr="00EE5A76" w:rsidRDefault="004A1FBE" w:rsidP="00207711">
      <w:pPr>
        <w:pStyle w:val="COPParagraph"/>
        <w:numPr>
          <w:ilvl w:val="0"/>
          <w:numId w:val="4"/>
        </w:numPr>
        <w:rPr>
          <w:sz w:val="22"/>
          <w:szCs w:val="22"/>
        </w:rPr>
      </w:pPr>
      <w:r w:rsidRPr="00EE5A76">
        <w:rPr>
          <w:b/>
          <w:bCs/>
          <w:sz w:val="22"/>
          <w:szCs w:val="22"/>
        </w:rPr>
        <w:t xml:space="preserve">Reduce </w:t>
      </w:r>
      <w:r w:rsidR="007424C7" w:rsidRPr="00EE5A76">
        <w:rPr>
          <w:b/>
          <w:bCs/>
          <w:sz w:val="22"/>
          <w:szCs w:val="22"/>
        </w:rPr>
        <w:t>Storage</w:t>
      </w:r>
      <w:r w:rsidRPr="00EE5A76">
        <w:rPr>
          <w:b/>
          <w:bCs/>
          <w:sz w:val="22"/>
          <w:szCs w:val="22"/>
        </w:rPr>
        <w:t xml:space="preserve"> </w:t>
      </w:r>
      <w:r w:rsidR="0085365D">
        <w:rPr>
          <w:b/>
          <w:bCs/>
          <w:sz w:val="22"/>
          <w:szCs w:val="22"/>
        </w:rPr>
        <w:t>L</w:t>
      </w:r>
      <w:r w:rsidRPr="00EE5A76">
        <w:rPr>
          <w:b/>
          <w:bCs/>
          <w:sz w:val="22"/>
          <w:szCs w:val="22"/>
        </w:rPr>
        <w:t>osses</w:t>
      </w:r>
      <w:r w:rsidR="007424C7" w:rsidRPr="00EE5A76">
        <w:rPr>
          <w:sz w:val="22"/>
          <w:szCs w:val="22"/>
        </w:rPr>
        <w:t xml:space="preserve"> - </w:t>
      </w:r>
      <w:r w:rsidRPr="00EE5A76">
        <w:rPr>
          <w:sz w:val="22"/>
          <w:szCs w:val="22"/>
        </w:rPr>
        <w:t>use net wrap or plastic wrap to reduce leaf loss</w:t>
      </w:r>
      <w:r w:rsidR="0085365D">
        <w:rPr>
          <w:sz w:val="22"/>
          <w:szCs w:val="22"/>
        </w:rPr>
        <w:t>.</w:t>
      </w:r>
      <w:r w:rsidRPr="00EE5A76">
        <w:rPr>
          <w:sz w:val="22"/>
          <w:szCs w:val="22"/>
        </w:rPr>
        <w:t xml:space="preserve"> </w:t>
      </w:r>
      <w:r w:rsidR="0085365D">
        <w:rPr>
          <w:sz w:val="22"/>
          <w:szCs w:val="22"/>
        </w:rPr>
        <w:t>S</w:t>
      </w:r>
      <w:r w:rsidRPr="00EE5A76">
        <w:rPr>
          <w:sz w:val="22"/>
          <w:szCs w:val="22"/>
        </w:rPr>
        <w:t xml:space="preserve">tore bales </w:t>
      </w:r>
      <w:r w:rsidR="007424C7" w:rsidRPr="00EE5A76">
        <w:rPr>
          <w:sz w:val="22"/>
          <w:szCs w:val="22"/>
        </w:rPr>
        <w:t>off</w:t>
      </w:r>
      <w:r w:rsidRPr="00EE5A76">
        <w:rPr>
          <w:sz w:val="22"/>
          <w:szCs w:val="22"/>
        </w:rPr>
        <w:t xml:space="preserve"> the </w:t>
      </w:r>
      <w:r w:rsidR="007424C7" w:rsidRPr="00EE5A76">
        <w:rPr>
          <w:sz w:val="22"/>
          <w:szCs w:val="22"/>
        </w:rPr>
        <w:t>ground</w:t>
      </w:r>
      <w:r w:rsidR="0085365D">
        <w:rPr>
          <w:sz w:val="22"/>
          <w:szCs w:val="22"/>
        </w:rPr>
        <w:t xml:space="preserve"> and</w:t>
      </w:r>
      <w:r w:rsidR="007424C7" w:rsidRPr="00EE5A76">
        <w:rPr>
          <w:sz w:val="22"/>
          <w:szCs w:val="22"/>
        </w:rPr>
        <w:t xml:space="preserve"> cover/tarp</w:t>
      </w:r>
      <w:r w:rsidRPr="00EE5A76">
        <w:rPr>
          <w:sz w:val="22"/>
          <w:szCs w:val="22"/>
        </w:rPr>
        <w:t xml:space="preserve"> to avoid weathering.</w:t>
      </w:r>
    </w:p>
    <w:p w14:paraId="6CB54D9E" w14:textId="3F63492A" w:rsidR="007424C7" w:rsidRPr="00EE5A76" w:rsidRDefault="007424C7" w:rsidP="00207711">
      <w:pPr>
        <w:pStyle w:val="COPParagraph"/>
        <w:numPr>
          <w:ilvl w:val="0"/>
          <w:numId w:val="4"/>
        </w:numPr>
        <w:rPr>
          <w:sz w:val="22"/>
          <w:szCs w:val="22"/>
        </w:rPr>
      </w:pPr>
      <w:r w:rsidRPr="00EE5A76">
        <w:rPr>
          <w:b/>
          <w:bCs/>
          <w:sz w:val="22"/>
          <w:szCs w:val="22"/>
        </w:rPr>
        <w:t>Feed Efficiency</w:t>
      </w:r>
      <w:r w:rsidRPr="00EE5A76">
        <w:rPr>
          <w:sz w:val="22"/>
          <w:szCs w:val="22"/>
        </w:rPr>
        <w:t xml:space="preserve"> - </w:t>
      </w:r>
      <w:r w:rsidR="004A1FBE" w:rsidRPr="00EE5A76">
        <w:rPr>
          <w:sz w:val="22"/>
          <w:szCs w:val="22"/>
        </w:rPr>
        <w:t>te</w:t>
      </w:r>
      <w:r w:rsidR="00EE5A76" w:rsidRPr="00EE5A76">
        <w:rPr>
          <w:sz w:val="22"/>
          <w:szCs w:val="22"/>
        </w:rPr>
        <w:t>s</w:t>
      </w:r>
      <w:r w:rsidR="004A1FBE" w:rsidRPr="00EE5A76">
        <w:rPr>
          <w:sz w:val="22"/>
          <w:szCs w:val="22"/>
        </w:rPr>
        <w:t xml:space="preserve">t </w:t>
      </w:r>
      <w:r w:rsidRPr="00EE5A76">
        <w:rPr>
          <w:sz w:val="22"/>
          <w:szCs w:val="22"/>
        </w:rPr>
        <w:t>forage</w:t>
      </w:r>
      <w:r w:rsidR="007E6E21">
        <w:rPr>
          <w:sz w:val="22"/>
          <w:szCs w:val="22"/>
        </w:rPr>
        <w:t xml:space="preserve"> quality</w:t>
      </w:r>
      <w:r w:rsidRPr="00EE5A76">
        <w:rPr>
          <w:sz w:val="22"/>
          <w:szCs w:val="22"/>
        </w:rPr>
        <w:t xml:space="preserve"> </w:t>
      </w:r>
      <w:r w:rsidR="004A1FBE" w:rsidRPr="00EE5A76">
        <w:rPr>
          <w:sz w:val="22"/>
          <w:szCs w:val="22"/>
        </w:rPr>
        <w:t>to match cow</w:t>
      </w:r>
      <w:r w:rsidR="00724F2C">
        <w:rPr>
          <w:sz w:val="22"/>
          <w:szCs w:val="22"/>
        </w:rPr>
        <w:t xml:space="preserve"> </w:t>
      </w:r>
      <w:r w:rsidR="00650F44">
        <w:rPr>
          <w:sz w:val="22"/>
          <w:szCs w:val="22"/>
        </w:rPr>
        <w:t xml:space="preserve">nutritional </w:t>
      </w:r>
      <w:r w:rsidR="00724F2C">
        <w:rPr>
          <w:sz w:val="22"/>
          <w:szCs w:val="22"/>
        </w:rPr>
        <w:t>requirements and</w:t>
      </w:r>
      <w:r w:rsidRPr="00EE5A76">
        <w:rPr>
          <w:sz w:val="22"/>
          <w:szCs w:val="22"/>
        </w:rPr>
        <w:t xml:space="preserve"> </w:t>
      </w:r>
      <w:r w:rsidR="004A1FBE" w:rsidRPr="00EE5A76">
        <w:rPr>
          <w:sz w:val="22"/>
          <w:szCs w:val="22"/>
        </w:rPr>
        <w:t xml:space="preserve">avoid overfeeding </w:t>
      </w:r>
      <w:r w:rsidR="00EE5A76" w:rsidRPr="00EE5A76">
        <w:rPr>
          <w:sz w:val="22"/>
          <w:szCs w:val="22"/>
        </w:rPr>
        <w:t>protein</w:t>
      </w:r>
      <w:r w:rsidR="004A1FBE" w:rsidRPr="00EE5A76">
        <w:rPr>
          <w:sz w:val="22"/>
          <w:szCs w:val="22"/>
        </w:rPr>
        <w:t xml:space="preserve"> or </w:t>
      </w:r>
      <w:r w:rsidR="00EE5A76" w:rsidRPr="00EE5A76">
        <w:rPr>
          <w:sz w:val="22"/>
          <w:szCs w:val="22"/>
        </w:rPr>
        <w:t>energy</w:t>
      </w:r>
      <w:r w:rsidR="004A1FBE" w:rsidRPr="00EE5A76">
        <w:rPr>
          <w:sz w:val="22"/>
          <w:szCs w:val="22"/>
        </w:rPr>
        <w:t>. Use lower-quality feed for dry cows and save higher-quality for lactating cows and heifers. R</w:t>
      </w:r>
      <w:r w:rsidRPr="00EE5A76">
        <w:rPr>
          <w:sz w:val="22"/>
          <w:szCs w:val="22"/>
        </w:rPr>
        <w:t>educe waste</w:t>
      </w:r>
      <w:r w:rsidR="004A1FBE" w:rsidRPr="00EE5A76">
        <w:rPr>
          <w:sz w:val="22"/>
          <w:szCs w:val="22"/>
        </w:rPr>
        <w:t xml:space="preserve"> during feeding, providing only what is needed for 1-2 days.</w:t>
      </w:r>
    </w:p>
    <w:p w14:paraId="53692549" w14:textId="60F30D59" w:rsidR="00756AEE" w:rsidRPr="0020129E" w:rsidRDefault="003659DE" w:rsidP="00756AEE">
      <w:pPr>
        <w:jc w:val="both"/>
        <w:rPr>
          <w:rFonts w:ascii="Neue Haas Grotesk Display Pro 4" w:eastAsia="Times New Roman" w:hAnsi="Neue Haas Grotesk Display Pro 4" w:cs="Times New Roman"/>
        </w:rPr>
      </w:pPr>
      <w:r w:rsidRPr="003659DE">
        <w:rPr>
          <w:b/>
          <w:bCs/>
          <w:noProof/>
        </w:rPr>
        <w:lastRenderedPageBreak/>
        <mc:AlternateContent>
          <mc:Choice Requires="wps">
            <w:drawing>
              <wp:inline distT="0" distB="0" distL="0" distR="0" wp14:anchorId="6753F47C" wp14:editId="1AD71B21">
                <wp:extent cx="5905500" cy="1404620"/>
                <wp:effectExtent l="0" t="0" r="19050" b="15240"/>
                <wp:docPr id="715840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chemeClr val="accent2">
                            <a:lumMod val="20000"/>
                            <a:lumOff val="80000"/>
                          </a:schemeClr>
                        </a:solidFill>
                        <a:ln w="9525">
                          <a:solidFill>
                            <a:schemeClr val="bg1"/>
                          </a:solidFill>
                          <a:miter lim="800000"/>
                          <a:headEnd/>
                          <a:tailEnd/>
                        </a:ln>
                      </wps:spPr>
                      <wps:txbx>
                        <w:txbxContent>
                          <w:p w14:paraId="2470304B" w14:textId="77777777" w:rsidR="003659DE" w:rsidRPr="009D6425" w:rsidRDefault="003659DE" w:rsidP="003659DE">
                            <w:pPr>
                              <w:rPr>
                                <w:rFonts w:ascii="Calibri" w:hAnsi="Calibri" w:cs="Calibri"/>
                              </w:rPr>
                            </w:pPr>
                            <w:r w:rsidRPr="009D6425">
                              <w:rPr>
                                <w:rFonts w:ascii="Calibri" w:hAnsi="Calibri" w:cs="Calibri"/>
                                <w:b/>
                                <w:bCs/>
                              </w:rPr>
                              <w:t>Key Takeaways</w:t>
                            </w:r>
                            <w:r w:rsidRPr="009D6425">
                              <w:rPr>
                                <w:rFonts w:ascii="Calibri" w:hAnsi="Calibri" w:cs="Calibri"/>
                              </w:rPr>
                              <w:t>:</w:t>
                            </w:r>
                          </w:p>
                          <w:p w14:paraId="7EF96B95" w14:textId="77777777" w:rsidR="003659DE" w:rsidRPr="009D6425" w:rsidRDefault="003659DE" w:rsidP="003659DE">
                            <w:pPr>
                              <w:pStyle w:val="ListParagraph"/>
                              <w:numPr>
                                <w:ilvl w:val="0"/>
                                <w:numId w:val="3"/>
                              </w:numPr>
                              <w:ind w:left="426"/>
                              <w:rPr>
                                <w:rFonts w:ascii="Calibri" w:hAnsi="Calibri" w:cs="Calibri"/>
                              </w:rPr>
                            </w:pPr>
                            <w:r w:rsidRPr="009D6425">
                              <w:rPr>
                                <w:rFonts w:ascii="Calibri" w:hAnsi="Calibri" w:cs="Calibri"/>
                              </w:rPr>
                              <w:t>You can be high or low cost with any feedstuff. Cost control is more about management than feed choice.</w:t>
                            </w:r>
                          </w:p>
                          <w:p w14:paraId="41A13820" w14:textId="77777777" w:rsidR="003659DE" w:rsidRDefault="003659DE" w:rsidP="003659DE">
                            <w:pPr>
                              <w:pStyle w:val="ListParagraph"/>
                              <w:numPr>
                                <w:ilvl w:val="0"/>
                                <w:numId w:val="3"/>
                              </w:numPr>
                              <w:ind w:left="426"/>
                              <w:rPr>
                                <w:rFonts w:ascii="Calibri" w:hAnsi="Calibri" w:cs="Calibri"/>
                              </w:rPr>
                            </w:pPr>
                            <w:r w:rsidRPr="009D6425">
                              <w:rPr>
                                <w:rFonts w:ascii="Calibri" w:hAnsi="Calibri" w:cs="Calibri"/>
                              </w:rPr>
                              <w:t>Input cost inflation has impacted each feedstuff differently over the last five-years with some increasing more or less than others.</w:t>
                            </w:r>
                          </w:p>
                          <w:p w14:paraId="2062B711" w14:textId="0472C5A8" w:rsidR="00CE6210" w:rsidRPr="009D6425" w:rsidRDefault="00CE6210" w:rsidP="003659DE">
                            <w:pPr>
                              <w:pStyle w:val="ListParagraph"/>
                              <w:numPr>
                                <w:ilvl w:val="0"/>
                                <w:numId w:val="3"/>
                              </w:numPr>
                              <w:ind w:left="426"/>
                              <w:rPr>
                                <w:rFonts w:ascii="Calibri" w:hAnsi="Calibri" w:cs="Calibri"/>
                              </w:rPr>
                            </w:pPr>
                            <w:r>
                              <w:rPr>
                                <w:rFonts w:ascii="Calibri" w:hAnsi="Calibri" w:cs="Calibri"/>
                              </w:rPr>
                              <w:t>Controlling homegrown forage production costs is key to being a competitive cow-calf producer</w:t>
                            </w:r>
                            <w:r w:rsidR="00D463CA">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6753F47C" id="Text Box 2" o:spid="_x0000_s1029" type="#_x0000_t202" style="width:4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" fillcolor="#fae2d5 [661]" strokecolor="white [3212]">
                <v:textbox style="mso-fit-shape-to-text:t">
                  <w:txbxContent>
                    <w:p w14:paraId="2470304B" w14:textId="77777777" w:rsidR="003659DE" w:rsidRPr="009D6425" w:rsidRDefault="003659DE" w:rsidP="003659DE">
                      <w:pPr>
                        <w:rPr>
                          <w:rFonts w:ascii="Calibri" w:hAnsi="Calibri" w:cs="Calibri"/>
                        </w:rPr>
                      </w:pPr>
                      <w:r w:rsidRPr="009D6425">
                        <w:rPr>
                          <w:rFonts w:ascii="Calibri" w:hAnsi="Calibri" w:cs="Calibri"/>
                          <w:b/>
                          <w:bCs/>
                        </w:rPr>
                        <w:t>Key Takeaways</w:t>
                      </w:r>
                      <w:r w:rsidRPr="009D6425">
                        <w:rPr>
                          <w:rFonts w:ascii="Calibri" w:hAnsi="Calibri" w:cs="Calibri"/>
                        </w:rPr>
                        <w:t>:</w:t>
                      </w:r>
                    </w:p>
                    <w:p w14:paraId="7EF96B95" w14:textId="77777777" w:rsidR="003659DE" w:rsidRPr="009D6425" w:rsidRDefault="003659DE" w:rsidP="003659DE">
                      <w:pPr>
                        <w:pStyle w:val="ListParagraph"/>
                        <w:numPr>
                          <w:ilvl w:val="0"/>
                          <w:numId w:val="3"/>
                        </w:numPr>
                        <w:ind w:left="426"/>
                        <w:rPr>
                          <w:rFonts w:ascii="Calibri" w:hAnsi="Calibri" w:cs="Calibri"/>
                        </w:rPr>
                      </w:pPr>
                      <w:r w:rsidRPr="009D6425">
                        <w:rPr>
                          <w:rFonts w:ascii="Calibri" w:hAnsi="Calibri" w:cs="Calibri"/>
                        </w:rPr>
                        <w:t>You can be high or low cost with any feedstuff. Cost control is more about management than feed choice.</w:t>
                      </w:r>
                    </w:p>
                    <w:p w14:paraId="41A13820" w14:textId="77777777" w:rsidR="003659DE" w:rsidRDefault="003659DE" w:rsidP="003659DE">
                      <w:pPr>
                        <w:pStyle w:val="ListParagraph"/>
                        <w:numPr>
                          <w:ilvl w:val="0"/>
                          <w:numId w:val="3"/>
                        </w:numPr>
                        <w:ind w:left="426"/>
                        <w:rPr>
                          <w:rFonts w:ascii="Calibri" w:hAnsi="Calibri" w:cs="Calibri"/>
                        </w:rPr>
                      </w:pPr>
                      <w:r w:rsidRPr="009D6425">
                        <w:rPr>
                          <w:rFonts w:ascii="Calibri" w:hAnsi="Calibri" w:cs="Calibri"/>
                        </w:rPr>
                        <w:t>Input cost inflation has impacted each feedstuff differently over the last five-years with some increasing more or less than others.</w:t>
                      </w:r>
                    </w:p>
                    <w:p w14:paraId="2062B711" w14:textId="0472C5A8" w:rsidR="00CE6210" w:rsidRPr="009D6425" w:rsidRDefault="00CE6210" w:rsidP="003659DE">
                      <w:pPr>
                        <w:pStyle w:val="ListParagraph"/>
                        <w:numPr>
                          <w:ilvl w:val="0"/>
                          <w:numId w:val="3"/>
                        </w:numPr>
                        <w:ind w:left="426"/>
                        <w:rPr>
                          <w:rFonts w:ascii="Calibri" w:hAnsi="Calibri" w:cs="Calibri"/>
                        </w:rPr>
                      </w:pPr>
                      <w:r>
                        <w:rPr>
                          <w:rFonts w:ascii="Calibri" w:hAnsi="Calibri" w:cs="Calibri"/>
                        </w:rPr>
                        <w:t>Controlling homegrown forage production costs is key to being a competitive cow-calf producer</w:t>
                      </w:r>
                      <w:r w:rsidR="00D463CA">
                        <w:rPr>
                          <w:rFonts w:ascii="Calibri" w:hAnsi="Calibri" w:cs="Calibri"/>
                        </w:rPr>
                        <w:t>.</w:t>
                      </w:r>
                    </w:p>
                  </w:txbxContent>
                </v:textbox>
                <w10:anchorlock/>
              </v:shape>
            </w:pict>
          </mc:Fallback>
        </mc:AlternateContent>
      </w:r>
    </w:p>
    <w:p w14:paraId="03C84C5F" w14:textId="217A5594" w:rsidR="00756AEE" w:rsidRDefault="00120B45" w:rsidP="00756AEE">
      <w:pPr>
        <w:pStyle w:val="COPParagraph"/>
        <w:spacing w:after="0"/>
        <w:ind w:left="720" w:hanging="720"/>
        <w:jc w:val="left"/>
      </w:pPr>
      <w:r w:rsidRPr="00120B45">
        <w:rPr>
          <w:noProof/>
        </w:rPr>
        <w:drawing>
          <wp:inline distT="0" distB="0" distL="0" distR="0" wp14:anchorId="4B9B6452" wp14:editId="2B4B7B4C">
            <wp:extent cx="5943600" cy="1550035"/>
            <wp:effectExtent l="0" t="0" r="0" b="0"/>
            <wp:docPr id="1566620856" name="Picture 1" descr="A close-up of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20856" name="Picture 1" descr="A close-up of a blue and white background&#10;&#10;AI-generated content may be incorrect."/>
                    <pic:cNvPicPr/>
                  </pic:nvPicPr>
                  <pic:blipFill>
                    <a:blip r:embed="rId15"/>
                    <a:stretch>
                      <a:fillRect/>
                    </a:stretch>
                  </pic:blipFill>
                  <pic:spPr>
                    <a:xfrm>
                      <a:off x="0" y="0"/>
                      <a:ext cx="5943600" cy="1550035"/>
                    </a:xfrm>
                    <a:prstGeom prst="rect">
                      <a:avLst/>
                    </a:prstGeom>
                  </pic:spPr>
                </pic:pic>
              </a:graphicData>
            </a:graphic>
          </wp:inline>
        </w:drawing>
      </w:r>
    </w:p>
    <w:p w14:paraId="0B51C261" w14:textId="26CF905C" w:rsidR="00CB6725" w:rsidRDefault="00E232D3" w:rsidP="00756AEE">
      <w:pPr>
        <w:pStyle w:val="COPParagraph"/>
        <w:spacing w:after="0"/>
        <w:ind w:left="720" w:hanging="720"/>
        <w:jc w:val="center"/>
      </w:pPr>
      <w:r>
        <w:rPr>
          <w:noProof/>
          <w:sz w:val="20"/>
          <w:szCs w:val="20"/>
        </w:rPr>
        <w:drawing>
          <wp:anchor distT="0" distB="0" distL="114300" distR="114300" simplePos="0" relativeHeight="251665408" behindDoc="0" locked="0" layoutInCell="1" allowOverlap="1" wp14:anchorId="6ABDDD8B" wp14:editId="03E1E8A0">
            <wp:simplePos x="0" y="0"/>
            <wp:positionH relativeFrom="margin">
              <wp:align>right</wp:align>
            </wp:positionH>
            <wp:positionV relativeFrom="paragraph">
              <wp:posOffset>130719</wp:posOffset>
            </wp:positionV>
            <wp:extent cx="977900" cy="977900"/>
            <wp:effectExtent l="0" t="0" r="0" b="0"/>
            <wp:wrapSquare wrapText="bothSides"/>
            <wp:docPr id="1705673056" name="Picture 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73056" name="Picture 4" descr="A qr code on a white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779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268CBD" w14:textId="5A666F7A" w:rsidR="00756AEE" w:rsidRDefault="00CB6725" w:rsidP="00756AEE">
      <w:pPr>
        <w:pStyle w:val="COPParagraph"/>
        <w:spacing w:after="0"/>
        <w:ind w:left="720" w:hanging="720"/>
        <w:jc w:val="center"/>
      </w:pPr>
      <w:r>
        <w:t xml:space="preserve">Canfax is funded by Memberships: </w:t>
      </w:r>
      <w:hyperlink r:id="rId17" w:history="1">
        <w:r w:rsidR="00756AEE" w:rsidRPr="005D7FB7">
          <w:rPr>
            <w:rStyle w:val="Hyperlink"/>
            <w:rFonts w:eastAsiaTheme="majorEastAsia"/>
            <w:b/>
            <w:bCs/>
          </w:rPr>
          <w:t>Subscribe Now</w:t>
        </w:r>
      </w:hyperlink>
      <w:r w:rsidR="00020311">
        <w:t>!</w:t>
      </w:r>
      <w:r w:rsidR="00E232D3" w:rsidRPr="00E232D3">
        <w:rPr>
          <w:noProof/>
          <w:sz w:val="20"/>
          <w:szCs w:val="20"/>
        </w:rPr>
        <w:t xml:space="preserve"> </w:t>
      </w:r>
    </w:p>
    <w:p w14:paraId="3BAEA07D" w14:textId="65ECAB39" w:rsidR="00CB6725" w:rsidRDefault="00CB6725" w:rsidP="00756AEE">
      <w:pPr>
        <w:pStyle w:val="COPParagraph"/>
        <w:spacing w:after="0"/>
        <w:ind w:left="720" w:hanging="720"/>
        <w:jc w:val="center"/>
      </w:pPr>
      <w:r>
        <w:t xml:space="preserve">Or </w:t>
      </w:r>
      <w:r w:rsidRPr="00CB6725">
        <w:t>Scan the QR Code for details how</w:t>
      </w:r>
    </w:p>
    <w:p w14:paraId="132A98ED" w14:textId="77777777" w:rsidR="00CB6725" w:rsidRPr="00CB6725" w:rsidRDefault="00CB6725" w:rsidP="00756AEE">
      <w:pPr>
        <w:pStyle w:val="COPParagraph"/>
        <w:spacing w:after="0"/>
        <w:ind w:left="720" w:hanging="720"/>
        <w:jc w:val="center"/>
      </w:pPr>
    </w:p>
    <w:p w14:paraId="7FF1F949" w14:textId="77777777" w:rsidR="00756AEE" w:rsidRDefault="00756AEE" w:rsidP="00756AEE">
      <w:pPr>
        <w:pStyle w:val="COPParagraph"/>
        <w:spacing w:before="0" w:after="0"/>
        <w:ind w:left="720" w:hanging="720"/>
        <w:jc w:val="left"/>
      </w:pPr>
    </w:p>
    <w:p w14:paraId="00F5626E" w14:textId="61B87F42" w:rsidR="00756AEE" w:rsidRPr="00484EE3" w:rsidRDefault="00756AEE" w:rsidP="00756AEE">
      <w:pPr>
        <w:pBdr>
          <w:top w:val="single" w:sz="4" w:space="1" w:color="auto"/>
          <w:left w:val="single" w:sz="4" w:space="4" w:color="auto"/>
          <w:bottom w:val="single" w:sz="4" w:space="1" w:color="auto"/>
          <w:right w:val="single" w:sz="4" w:space="4" w:color="auto"/>
        </w:pBdr>
        <w:spacing w:after="0" w:line="240" w:lineRule="auto"/>
        <w:rPr>
          <w:rFonts w:ascii="Neue Haas Grotesk Display Pro 4" w:hAnsi="Neue Haas Grotesk Display Pro 4"/>
          <w:sz w:val="18"/>
          <w:szCs w:val="18"/>
          <w:lang w:val="en-US"/>
        </w:rPr>
      </w:pPr>
      <w:bookmarkStart w:id="3" w:name="_Hlk152657493"/>
      <w:r w:rsidRPr="00484EE3">
        <w:rPr>
          <w:rFonts w:ascii="Neue Haas Grotesk Display Pro 4" w:hAnsi="Neue Haas Grotesk Display Pro 4"/>
          <w:sz w:val="18"/>
          <w:szCs w:val="18"/>
          <w:lang w:val="en-US"/>
        </w:rPr>
        <w:t>Disclaimer / Copyright Notice</w:t>
      </w:r>
      <w:r w:rsidR="00B06CF8" w:rsidRPr="00484EE3">
        <w:rPr>
          <w:rFonts w:ascii="Neue Haas Grotesk Display Pro 4" w:hAnsi="Neue Haas Grotesk Display Pro 4"/>
          <w:sz w:val="18"/>
          <w:szCs w:val="18"/>
          <w:lang w:val="en-US"/>
        </w:rPr>
        <w:t>: Canfax</w:t>
      </w:r>
      <w:r w:rsidRPr="00484EE3">
        <w:rPr>
          <w:rFonts w:ascii="Neue Haas Grotesk Display Pro 4" w:hAnsi="Neue Haas Grotesk Display Pro 4"/>
          <w:sz w:val="18"/>
          <w:szCs w:val="18"/>
          <w:lang w:val="en-US"/>
        </w:rPr>
        <w:t xml:space="preserve"> Research Services (CRS) tries to provide quality information, but we make no claims, promises, or guarantees about the accuracy, completeness, or adequacy of the information. CRS does not guarantee and accepts no legal liability arising from or connected to, the accuracy, reliability, or completeness of any material contained in our publications. Reproduction and/or electronic transmission of this publication, in whole or in part, is strictly forbidden without written consent from CRS.</w:t>
      </w:r>
      <w:bookmarkEnd w:id="3"/>
    </w:p>
    <w:p w14:paraId="45018221" w14:textId="77777777" w:rsidR="00A2446B" w:rsidRPr="00756AEE" w:rsidRDefault="00A2446B">
      <w:pPr>
        <w:rPr>
          <w:lang w:val="en-US"/>
        </w:rPr>
      </w:pPr>
    </w:p>
    <w:sectPr w:rsidR="00A2446B" w:rsidRPr="00756AEE" w:rsidSect="00A877B1">
      <w:headerReference w:type="default" r:id="rId18"/>
      <w:footerReference w:type="default" r:id="rId19"/>
      <w:headerReference w:type="first" r:id="rId20"/>
      <w:footerReference w:type="first" r:id="rId21"/>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nice Bruynooghe" w:date="2025-08-07T13:21:00Z" w:initials="JB">
    <w:p w14:paraId="3C3594A3" w14:textId="77777777" w:rsidR="009C0B3B" w:rsidRDefault="0057551A" w:rsidP="009C0B3B">
      <w:pPr>
        <w:pStyle w:val="CommentText"/>
      </w:pPr>
      <w:r>
        <w:rPr>
          <w:rStyle w:val="CommentReference"/>
        </w:rPr>
        <w:annotationRef/>
      </w:r>
      <w:r w:rsidR="009C0B3B">
        <w:t>Not necessarily an editing question but interested why this was classed as Hay rather than Silage? Readers may ask the same question.</w:t>
      </w:r>
    </w:p>
  </w:comment>
  <w:comment w:id="2" w:author="Huiting Huang" w:date="2025-08-21T09:26:00Z" w:initials="HH">
    <w:p w14:paraId="0564BBC0" w14:textId="77777777" w:rsidR="00E06B69" w:rsidRDefault="00525BF6" w:rsidP="00E06B69">
      <w:pPr>
        <w:pStyle w:val="CommentText"/>
      </w:pPr>
      <w:r>
        <w:rPr>
          <w:rStyle w:val="CommentReference"/>
        </w:rPr>
        <w:annotationRef/>
      </w:r>
      <w:r w:rsidR="00E06B69">
        <w:t xml:space="preserve">This refers to the term “round bale silage” or “baleage” used in the east. Shall we change it from “grass silage” to “round bale silage/baleage” (is it more confusing)?    </w:t>
      </w:r>
      <w:hyperlink r:id="rId1" w:history="1">
        <w:r w:rsidR="00E06B69" w:rsidRPr="00955529">
          <w:rPr>
            <w:rStyle w:val="Hyperlink"/>
          </w:rPr>
          <w:t>https://nsnewfarmer.ca/wp-content/uploads/sites/5/2018/02/GFB-Fact-Sheet-5-Forage-Mgt-Practices.pdf</w:t>
        </w:r>
      </w:hyperlink>
      <w:r w:rsidR="00E06B69">
        <w:t xml:space="preserve"> </w:t>
      </w:r>
    </w:p>
    <w:p w14:paraId="048358F2" w14:textId="77777777" w:rsidR="00E06B69" w:rsidRDefault="00E06B69" w:rsidP="00E06B69">
      <w:pPr>
        <w:pStyle w:val="CommentText"/>
      </w:pPr>
      <w:r>
        <w:t>Or we can do:</w:t>
      </w:r>
    </w:p>
    <w:p w14:paraId="3DF7E520" w14:textId="77777777" w:rsidR="00E06B69" w:rsidRDefault="00E06B69" w:rsidP="00E06B69">
      <w:pPr>
        <w:pStyle w:val="CommentText"/>
      </w:pPr>
      <w:r>
        <w:t xml:space="preserve">Hay </w:t>
      </w:r>
      <w:r>
        <w:rPr>
          <w:highlight w:val="yellow"/>
        </w:rPr>
        <w:t>(perennials)</w:t>
      </w:r>
      <w:r>
        <w:t xml:space="preserve">: including dry hay, haylage, </w:t>
      </w:r>
      <w:r>
        <w:rPr>
          <w:highlight w:val="yellow"/>
        </w:rPr>
        <w:t>baleage</w:t>
      </w:r>
    </w:p>
    <w:p w14:paraId="0DF4E13D" w14:textId="77777777" w:rsidR="00E06B69" w:rsidRDefault="00E06B69" w:rsidP="00E06B69">
      <w:pPr>
        <w:pStyle w:val="CommentText"/>
      </w:pPr>
      <w:r>
        <w:t xml:space="preserve">Silage </w:t>
      </w:r>
      <w:r>
        <w:rPr>
          <w:highlight w:val="yellow"/>
        </w:rPr>
        <w:t>(annuals)</w:t>
      </w:r>
      <w:r>
        <w:t>: including oat silage, barley silage, pea silage, corn silage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3594A3" w15:done="1"/>
  <w15:commentEx w15:paraId="0DF4E13D" w15:paraIdParent="3C3594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EC2B47" w16cex:dateUtc="2025-08-07T19:21:00Z"/>
  <w16cex:commentExtensible w16cex:durableId="0B38A23D" w16cex:dateUtc="2025-08-21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3594A3" w16cid:durableId="62EC2B47"/>
  <w16cid:commentId w16cid:paraId="0DF4E13D" w16cid:durableId="0B38A2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0BEA" w14:textId="77777777" w:rsidR="00586779" w:rsidRDefault="00586779" w:rsidP="00A877B1">
      <w:pPr>
        <w:spacing w:after="0" w:line="240" w:lineRule="auto"/>
      </w:pPr>
      <w:r>
        <w:separator/>
      </w:r>
    </w:p>
  </w:endnote>
  <w:endnote w:type="continuationSeparator" w:id="0">
    <w:p w14:paraId="520039A3" w14:textId="77777777" w:rsidR="00586779" w:rsidRDefault="00586779" w:rsidP="00A8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ue Haas Grotesk Display Pro 4">
    <w:altName w:val="Calibri"/>
    <w:panose1 w:val="00000000000000000000"/>
    <w:charset w:val="4D"/>
    <w:family w:val="swiss"/>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eue Haas Grotesk Display Pro 5">
    <w:altName w:val="Calibri"/>
    <w:panose1 w:val="00000000000000000000"/>
    <w:charset w:val="4D"/>
    <w:family w:val="swiss"/>
    <w:notTrueType/>
    <w:pitch w:val="variable"/>
    <w:sig w:usb0="00000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delle">
    <w:altName w:val="Calibri"/>
    <w:panose1 w:val="00000000000000000000"/>
    <w:charset w:val="4D"/>
    <w:family w:val="auto"/>
    <w:notTrueType/>
    <w:pitch w:val="variable"/>
    <w:sig w:usb0="80000087" w:usb1="0000004B" w:usb2="00000000" w:usb3="00000000" w:csb0="0000008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6567" w14:textId="7BA537F4" w:rsidR="00756AEE" w:rsidRDefault="00756AEE">
    <w:pPr>
      <w:pStyle w:val="Footer"/>
    </w:pPr>
    <w:r w:rsidRPr="00B44566">
      <w:rPr>
        <w:noProof/>
      </w:rPr>
      <w:drawing>
        <wp:inline distT="0" distB="0" distL="0" distR="0" wp14:anchorId="0C6091C4" wp14:editId="03032B69">
          <wp:extent cx="5943600" cy="626745"/>
          <wp:effectExtent l="0" t="0" r="0" b="1905"/>
          <wp:docPr id="16479997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267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7203" w14:textId="1C3578A6" w:rsidR="00A877B1" w:rsidRDefault="00A877B1">
    <w:pPr>
      <w:pStyle w:val="Footer"/>
    </w:pPr>
    <w:r w:rsidRPr="00B44566">
      <w:rPr>
        <w:noProof/>
      </w:rPr>
      <w:drawing>
        <wp:inline distT="0" distB="0" distL="0" distR="0" wp14:anchorId="4A62458E" wp14:editId="5581F509">
          <wp:extent cx="5943600" cy="626745"/>
          <wp:effectExtent l="0" t="0" r="0" b="190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4EEA" w14:textId="77777777" w:rsidR="00586779" w:rsidRDefault="00586779" w:rsidP="00A877B1">
      <w:pPr>
        <w:spacing w:after="0" w:line="240" w:lineRule="auto"/>
      </w:pPr>
      <w:r>
        <w:separator/>
      </w:r>
    </w:p>
  </w:footnote>
  <w:footnote w:type="continuationSeparator" w:id="0">
    <w:p w14:paraId="517029B3" w14:textId="77777777" w:rsidR="00586779" w:rsidRDefault="00586779" w:rsidP="00A877B1">
      <w:pPr>
        <w:spacing w:after="0" w:line="240" w:lineRule="auto"/>
      </w:pPr>
      <w:r>
        <w:continuationSeparator/>
      </w:r>
    </w:p>
  </w:footnote>
  <w:footnote w:id="1">
    <w:p w14:paraId="473D6BC4" w14:textId="3DC89430" w:rsidR="00484EE3" w:rsidRPr="00484EE3" w:rsidRDefault="00484EE3">
      <w:pPr>
        <w:pStyle w:val="FootnoteText"/>
        <w:rPr>
          <w:lang w:val="en-US"/>
        </w:rPr>
      </w:pPr>
      <w:r>
        <w:rPr>
          <w:rStyle w:val="FootnoteReference"/>
        </w:rPr>
        <w:footnoteRef/>
      </w:r>
      <w:r>
        <w:t xml:space="preserve"> </w:t>
      </w:r>
      <w:r w:rsidRPr="00E13BB6">
        <w:t>Approximation of Feed Cost is calculated as feed cost (purchase feed + fertiliser, seed and pesticides for feed production) + machinery cost (machinery maintenance + depreciation + contractor) + fuel, energy, lubricants and water</w:t>
      </w:r>
      <w:r w:rsidR="00AA3320">
        <w:t xml:space="preserve"> (such as irrigation)</w:t>
      </w:r>
      <w:r w:rsidRPr="00E13BB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3BE9" w14:textId="4C228486" w:rsidR="00A877B1" w:rsidRPr="00A877B1" w:rsidRDefault="00A877B1">
    <w:pPr>
      <w:pStyle w:val="Header"/>
      <w:rPr>
        <w:sz w:val="2"/>
        <w:szCs w:val="2"/>
      </w:rPr>
    </w:pPr>
    <w:r>
      <w:rPr>
        <w:noProof/>
      </w:rPr>
      <w:drawing>
        <wp:anchor distT="0" distB="0" distL="0" distR="0" simplePos="0" relativeHeight="251661312" behindDoc="0" locked="0" layoutInCell="1" allowOverlap="1" wp14:anchorId="6342D39B" wp14:editId="278A9586">
          <wp:simplePos x="0" y="0"/>
          <wp:positionH relativeFrom="page">
            <wp:posOffset>34506</wp:posOffset>
          </wp:positionH>
          <wp:positionV relativeFrom="paragraph">
            <wp:posOffset>-432064</wp:posOffset>
          </wp:positionV>
          <wp:extent cx="7772400" cy="532765"/>
          <wp:effectExtent l="0" t="0" r="0" b="635"/>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348A" w14:textId="7A888AE5" w:rsidR="00A877B1" w:rsidRDefault="00A877B1">
    <w:pPr>
      <w:pStyle w:val="Header"/>
    </w:pPr>
    <w:r w:rsidRPr="00A877B1">
      <w:rPr>
        <w:noProof/>
        <w:sz w:val="2"/>
        <w:szCs w:val="2"/>
      </w:rPr>
      <w:drawing>
        <wp:anchor distT="0" distB="0" distL="0" distR="0" simplePos="0" relativeHeight="251659264" behindDoc="0" locked="0" layoutInCell="1" allowOverlap="1" wp14:anchorId="63457471" wp14:editId="6FE0D824">
          <wp:simplePos x="0" y="0"/>
          <wp:positionH relativeFrom="page">
            <wp:align>right</wp:align>
          </wp:positionH>
          <wp:positionV relativeFrom="page">
            <wp:posOffset>9189</wp:posOffset>
          </wp:positionV>
          <wp:extent cx="7773035" cy="2565400"/>
          <wp:effectExtent l="0" t="0" r="0" b="6350"/>
          <wp:wrapSquare wrapText="bothSides"/>
          <wp:docPr id="3" name="Picture 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2565400"/>
                  </a:xfrm>
                  <a:prstGeom prst="rect">
                    <a:avLst/>
                  </a:prstGeom>
                  <a:noFill/>
                  <a:ln>
                    <a:noFill/>
                  </a:ln>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99F"/>
    <w:multiLevelType w:val="hybridMultilevel"/>
    <w:tmpl w:val="75B626EA"/>
    <w:lvl w:ilvl="0" w:tplc="4972E6A2">
      <w:numFmt w:val="bullet"/>
      <w:lvlText w:val="-"/>
      <w:lvlJc w:val="left"/>
      <w:pPr>
        <w:ind w:left="720" w:hanging="360"/>
      </w:pPr>
      <w:rPr>
        <w:rFonts w:ascii="Neue Haas Grotesk Display Pro 4" w:eastAsia="Times New Roman" w:hAnsi="Neue Haas Grotesk Display Pro 4"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037266"/>
    <w:multiLevelType w:val="hybridMultilevel"/>
    <w:tmpl w:val="1FDEF0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83296D"/>
    <w:multiLevelType w:val="hybridMultilevel"/>
    <w:tmpl w:val="FA2C2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744989"/>
    <w:multiLevelType w:val="hybridMultilevel"/>
    <w:tmpl w:val="C05875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4374952">
    <w:abstractNumId w:val="0"/>
  </w:num>
  <w:num w:numId="2" w16cid:durableId="627472156">
    <w:abstractNumId w:val="3"/>
  </w:num>
  <w:num w:numId="3" w16cid:durableId="1861967137">
    <w:abstractNumId w:val="1"/>
  </w:num>
  <w:num w:numId="4" w16cid:durableId="18474742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ce Bruynooghe">
    <w15:presenceInfo w15:providerId="Windows Live" w15:userId="c866c49739f8546a"/>
  </w15:person>
  <w15:person w15:author="Huiting Huang">
    <w15:presenceInfo w15:providerId="AD" w15:userId="S::huangh@canfax.ca::6c5f81cb-c4e6-4d9b-9c0b-414f08ad2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1"/>
    <w:rsid w:val="00020311"/>
    <w:rsid w:val="00027052"/>
    <w:rsid w:val="00095A47"/>
    <w:rsid w:val="000A1EED"/>
    <w:rsid w:val="000D5EFC"/>
    <w:rsid w:val="000E0E2F"/>
    <w:rsid w:val="00120B45"/>
    <w:rsid w:val="00121B38"/>
    <w:rsid w:val="00136ACB"/>
    <w:rsid w:val="00185EE2"/>
    <w:rsid w:val="00195ECF"/>
    <w:rsid w:val="001C0C3B"/>
    <w:rsid w:val="00207711"/>
    <w:rsid w:val="00235F1F"/>
    <w:rsid w:val="00284D45"/>
    <w:rsid w:val="00293A15"/>
    <w:rsid w:val="002A07E0"/>
    <w:rsid w:val="002B33F6"/>
    <w:rsid w:val="002B3672"/>
    <w:rsid w:val="002C1445"/>
    <w:rsid w:val="002E6CD5"/>
    <w:rsid w:val="00332770"/>
    <w:rsid w:val="00351F99"/>
    <w:rsid w:val="003659DE"/>
    <w:rsid w:val="0039585D"/>
    <w:rsid w:val="003C0B26"/>
    <w:rsid w:val="003E7ABF"/>
    <w:rsid w:val="00421F31"/>
    <w:rsid w:val="00423B7A"/>
    <w:rsid w:val="00484EE3"/>
    <w:rsid w:val="00494CCF"/>
    <w:rsid w:val="004A1FBE"/>
    <w:rsid w:val="004A768F"/>
    <w:rsid w:val="004D7499"/>
    <w:rsid w:val="004E29A9"/>
    <w:rsid w:val="004E570D"/>
    <w:rsid w:val="00516AD9"/>
    <w:rsid w:val="00525BF6"/>
    <w:rsid w:val="00566D01"/>
    <w:rsid w:val="005751F7"/>
    <w:rsid w:val="0057551A"/>
    <w:rsid w:val="00585A86"/>
    <w:rsid w:val="00586779"/>
    <w:rsid w:val="005B2ED5"/>
    <w:rsid w:val="005C5D4E"/>
    <w:rsid w:val="005D7DF6"/>
    <w:rsid w:val="005F11F6"/>
    <w:rsid w:val="00634980"/>
    <w:rsid w:val="00650F44"/>
    <w:rsid w:val="006526E6"/>
    <w:rsid w:val="00670779"/>
    <w:rsid w:val="00677F96"/>
    <w:rsid w:val="006B432A"/>
    <w:rsid w:val="007107A6"/>
    <w:rsid w:val="00724F2C"/>
    <w:rsid w:val="0074053B"/>
    <w:rsid w:val="007424C7"/>
    <w:rsid w:val="00753556"/>
    <w:rsid w:val="00756AEE"/>
    <w:rsid w:val="007A3935"/>
    <w:rsid w:val="007D1941"/>
    <w:rsid w:val="007E5E93"/>
    <w:rsid w:val="007E6E21"/>
    <w:rsid w:val="00801CA1"/>
    <w:rsid w:val="0085365D"/>
    <w:rsid w:val="00854AEA"/>
    <w:rsid w:val="008823EA"/>
    <w:rsid w:val="00896C63"/>
    <w:rsid w:val="008A1839"/>
    <w:rsid w:val="008A7286"/>
    <w:rsid w:val="008F04A3"/>
    <w:rsid w:val="0090246B"/>
    <w:rsid w:val="009173D0"/>
    <w:rsid w:val="00921879"/>
    <w:rsid w:val="00945674"/>
    <w:rsid w:val="00976B8C"/>
    <w:rsid w:val="009B249B"/>
    <w:rsid w:val="009C0B3B"/>
    <w:rsid w:val="009D6425"/>
    <w:rsid w:val="00A02BA2"/>
    <w:rsid w:val="00A06560"/>
    <w:rsid w:val="00A10708"/>
    <w:rsid w:val="00A10BF0"/>
    <w:rsid w:val="00A243E9"/>
    <w:rsid w:val="00A2446B"/>
    <w:rsid w:val="00A778FF"/>
    <w:rsid w:val="00A877B1"/>
    <w:rsid w:val="00AA3320"/>
    <w:rsid w:val="00AF66FF"/>
    <w:rsid w:val="00B06CF8"/>
    <w:rsid w:val="00B33763"/>
    <w:rsid w:val="00B3564E"/>
    <w:rsid w:val="00B55F7D"/>
    <w:rsid w:val="00B71148"/>
    <w:rsid w:val="00B80093"/>
    <w:rsid w:val="00BA10E7"/>
    <w:rsid w:val="00BC1368"/>
    <w:rsid w:val="00BF6AC2"/>
    <w:rsid w:val="00C52AE1"/>
    <w:rsid w:val="00CA1F7E"/>
    <w:rsid w:val="00CB6725"/>
    <w:rsid w:val="00CE6210"/>
    <w:rsid w:val="00CF755D"/>
    <w:rsid w:val="00D07EEB"/>
    <w:rsid w:val="00D3018C"/>
    <w:rsid w:val="00D463CA"/>
    <w:rsid w:val="00D708C4"/>
    <w:rsid w:val="00D76E4C"/>
    <w:rsid w:val="00D8294A"/>
    <w:rsid w:val="00D96DB1"/>
    <w:rsid w:val="00DE74E1"/>
    <w:rsid w:val="00E0102B"/>
    <w:rsid w:val="00E06B69"/>
    <w:rsid w:val="00E225BE"/>
    <w:rsid w:val="00E232D3"/>
    <w:rsid w:val="00E27307"/>
    <w:rsid w:val="00EB42C7"/>
    <w:rsid w:val="00ED51D7"/>
    <w:rsid w:val="00EE5A76"/>
    <w:rsid w:val="00EF6A88"/>
    <w:rsid w:val="00EF7DEA"/>
    <w:rsid w:val="00F67878"/>
    <w:rsid w:val="00F9081C"/>
    <w:rsid w:val="00FD7C2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0A8B"/>
  <w15:chartTrackingRefBased/>
  <w15:docId w15:val="{BF7EC357-889E-443D-BCB2-BCBC4D5F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7B1"/>
    <w:rPr>
      <w:rFonts w:eastAsia="SimSun"/>
      <w:kern w:val="0"/>
      <w14:ligatures w14:val="none"/>
    </w:rPr>
  </w:style>
  <w:style w:type="paragraph" w:styleId="Heading1">
    <w:name w:val="heading 1"/>
    <w:basedOn w:val="Normal"/>
    <w:next w:val="Normal"/>
    <w:link w:val="Heading1Char"/>
    <w:uiPriority w:val="9"/>
    <w:qFormat/>
    <w:rsid w:val="00207711"/>
    <w:pPr>
      <w:keepNext/>
      <w:keepLines/>
      <w:spacing w:before="240" w:after="80"/>
      <w:outlineLvl w:val="0"/>
    </w:pPr>
    <w:rPr>
      <w:rFonts w:ascii="Neue Haas Grotesk Display Pro 5" w:eastAsiaTheme="majorEastAsia" w:hAnsi="Neue Haas Grotesk Display Pro 5" w:cs="Times New Roman"/>
      <w:color w:val="0F4761" w:themeColor="accent1" w:themeShade="BF"/>
      <w:sz w:val="28"/>
      <w:szCs w:val="32"/>
    </w:rPr>
  </w:style>
  <w:style w:type="paragraph" w:styleId="Heading2">
    <w:name w:val="heading 2"/>
    <w:basedOn w:val="Normal"/>
    <w:next w:val="Normal"/>
    <w:link w:val="Heading2Char"/>
    <w:uiPriority w:val="9"/>
    <w:unhideWhenUsed/>
    <w:qFormat/>
    <w:rsid w:val="00A87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711"/>
    <w:rPr>
      <w:rFonts w:ascii="Neue Haas Grotesk Display Pro 5" w:eastAsiaTheme="majorEastAsia" w:hAnsi="Neue Haas Grotesk Display Pro 5" w:cs="Times New Roman"/>
      <w:color w:val="0F4761" w:themeColor="accent1" w:themeShade="BF"/>
      <w:kern w:val="0"/>
      <w:sz w:val="28"/>
      <w:szCs w:val="32"/>
      <w14:ligatures w14:val="none"/>
    </w:rPr>
  </w:style>
  <w:style w:type="character" w:customStyle="1" w:styleId="Heading2Char">
    <w:name w:val="Heading 2 Char"/>
    <w:basedOn w:val="DefaultParagraphFont"/>
    <w:link w:val="Heading2"/>
    <w:uiPriority w:val="9"/>
    <w:rsid w:val="00A87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7B1"/>
    <w:rPr>
      <w:rFonts w:eastAsiaTheme="majorEastAsia" w:cstheme="majorBidi"/>
      <w:color w:val="272727" w:themeColor="text1" w:themeTint="D8"/>
    </w:rPr>
  </w:style>
  <w:style w:type="paragraph" w:styleId="Title">
    <w:name w:val="Title"/>
    <w:basedOn w:val="Normal"/>
    <w:next w:val="Normal"/>
    <w:link w:val="TitleChar"/>
    <w:uiPriority w:val="10"/>
    <w:qFormat/>
    <w:rsid w:val="00A87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7B1"/>
    <w:pPr>
      <w:spacing w:before="160"/>
      <w:jc w:val="center"/>
    </w:pPr>
    <w:rPr>
      <w:i/>
      <w:iCs/>
      <w:color w:val="404040" w:themeColor="text1" w:themeTint="BF"/>
    </w:rPr>
  </w:style>
  <w:style w:type="character" w:customStyle="1" w:styleId="QuoteChar">
    <w:name w:val="Quote Char"/>
    <w:basedOn w:val="DefaultParagraphFont"/>
    <w:link w:val="Quote"/>
    <w:uiPriority w:val="29"/>
    <w:rsid w:val="00A877B1"/>
    <w:rPr>
      <w:i/>
      <w:iCs/>
      <w:color w:val="404040" w:themeColor="text1" w:themeTint="BF"/>
    </w:rPr>
  </w:style>
  <w:style w:type="paragraph" w:styleId="ListParagraph">
    <w:name w:val="List Paragraph"/>
    <w:basedOn w:val="Normal"/>
    <w:uiPriority w:val="34"/>
    <w:qFormat/>
    <w:rsid w:val="00A877B1"/>
    <w:pPr>
      <w:ind w:left="720"/>
      <w:contextualSpacing/>
    </w:pPr>
  </w:style>
  <w:style w:type="character" w:styleId="IntenseEmphasis">
    <w:name w:val="Intense Emphasis"/>
    <w:basedOn w:val="DefaultParagraphFont"/>
    <w:uiPriority w:val="21"/>
    <w:qFormat/>
    <w:rsid w:val="00A877B1"/>
    <w:rPr>
      <w:i/>
      <w:iCs/>
      <w:color w:val="0F4761" w:themeColor="accent1" w:themeShade="BF"/>
    </w:rPr>
  </w:style>
  <w:style w:type="paragraph" w:styleId="IntenseQuote">
    <w:name w:val="Intense Quote"/>
    <w:basedOn w:val="Normal"/>
    <w:next w:val="Normal"/>
    <w:link w:val="IntenseQuoteChar"/>
    <w:uiPriority w:val="30"/>
    <w:qFormat/>
    <w:rsid w:val="00A87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7B1"/>
    <w:rPr>
      <w:i/>
      <w:iCs/>
      <w:color w:val="0F4761" w:themeColor="accent1" w:themeShade="BF"/>
    </w:rPr>
  </w:style>
  <w:style w:type="character" w:styleId="IntenseReference">
    <w:name w:val="Intense Reference"/>
    <w:basedOn w:val="DefaultParagraphFont"/>
    <w:uiPriority w:val="32"/>
    <w:qFormat/>
    <w:rsid w:val="00A877B1"/>
    <w:rPr>
      <w:b/>
      <w:bCs/>
      <w:smallCaps/>
      <w:color w:val="0F4761" w:themeColor="accent1" w:themeShade="BF"/>
      <w:spacing w:val="5"/>
    </w:rPr>
  </w:style>
  <w:style w:type="paragraph" w:customStyle="1" w:styleId="COPParagraph">
    <w:name w:val="COP Paragraph"/>
    <w:basedOn w:val="Normal"/>
    <w:qFormat/>
    <w:rsid w:val="00A877B1"/>
    <w:pPr>
      <w:spacing w:before="120" w:after="120" w:line="240" w:lineRule="auto"/>
      <w:jc w:val="both"/>
    </w:pPr>
    <w:rPr>
      <w:rFonts w:ascii="Neue Haas Grotesk Display Pro 4" w:eastAsia="Times New Roman" w:hAnsi="Neue Haas Grotesk Display Pro 4" w:cs="Times New Roman"/>
      <w:sz w:val="24"/>
      <w:szCs w:val="24"/>
      <w:lang w:val="en-US"/>
    </w:rPr>
  </w:style>
  <w:style w:type="table" w:styleId="PlainTable3">
    <w:name w:val="Plain Table 3"/>
    <w:basedOn w:val="TableNormal"/>
    <w:uiPriority w:val="43"/>
    <w:rsid w:val="00A877B1"/>
    <w:pPr>
      <w:spacing w:after="0" w:line="240" w:lineRule="auto"/>
    </w:pPr>
    <w:rPr>
      <w:rFonts w:eastAsia="SimSun"/>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A87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7B1"/>
    <w:rPr>
      <w:rFonts w:eastAsia="SimSun"/>
      <w:kern w:val="0"/>
      <w:sz w:val="20"/>
      <w:szCs w:val="20"/>
      <w14:ligatures w14:val="none"/>
    </w:rPr>
  </w:style>
  <w:style w:type="character" w:styleId="FootnoteReference">
    <w:name w:val="footnote reference"/>
    <w:basedOn w:val="DefaultParagraphFont"/>
    <w:uiPriority w:val="99"/>
    <w:semiHidden/>
    <w:unhideWhenUsed/>
    <w:rsid w:val="00A877B1"/>
    <w:rPr>
      <w:vertAlign w:val="superscript"/>
    </w:rPr>
  </w:style>
  <w:style w:type="paragraph" w:styleId="Header">
    <w:name w:val="header"/>
    <w:basedOn w:val="Normal"/>
    <w:link w:val="HeaderChar"/>
    <w:uiPriority w:val="99"/>
    <w:unhideWhenUsed/>
    <w:rsid w:val="00A8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7B1"/>
    <w:rPr>
      <w:rFonts w:eastAsia="SimSun"/>
      <w:kern w:val="0"/>
      <w14:ligatures w14:val="none"/>
    </w:rPr>
  </w:style>
  <w:style w:type="paragraph" w:styleId="Footer">
    <w:name w:val="footer"/>
    <w:basedOn w:val="Normal"/>
    <w:link w:val="FooterChar"/>
    <w:uiPriority w:val="99"/>
    <w:unhideWhenUsed/>
    <w:rsid w:val="00A87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7B1"/>
    <w:rPr>
      <w:rFonts w:eastAsia="SimSun"/>
      <w:kern w:val="0"/>
      <w14:ligatures w14:val="none"/>
    </w:rPr>
  </w:style>
  <w:style w:type="character" w:styleId="Hyperlink">
    <w:name w:val="Hyperlink"/>
    <w:basedOn w:val="DefaultParagraphFont"/>
    <w:uiPriority w:val="99"/>
    <w:unhideWhenUsed/>
    <w:rsid w:val="00756AEE"/>
    <w:rPr>
      <w:color w:val="467886" w:themeColor="hyperlink"/>
      <w:u w:val="single"/>
    </w:rPr>
  </w:style>
  <w:style w:type="character" w:styleId="CommentReference">
    <w:name w:val="annotation reference"/>
    <w:basedOn w:val="DefaultParagraphFont"/>
    <w:uiPriority w:val="99"/>
    <w:semiHidden/>
    <w:unhideWhenUsed/>
    <w:rsid w:val="00484EE3"/>
    <w:rPr>
      <w:sz w:val="16"/>
      <w:szCs w:val="16"/>
    </w:rPr>
  </w:style>
  <w:style w:type="paragraph" w:styleId="CommentText">
    <w:name w:val="annotation text"/>
    <w:basedOn w:val="Normal"/>
    <w:link w:val="CommentTextChar"/>
    <w:uiPriority w:val="99"/>
    <w:unhideWhenUsed/>
    <w:rsid w:val="00484EE3"/>
    <w:pPr>
      <w:spacing w:line="240" w:lineRule="auto"/>
    </w:pPr>
    <w:rPr>
      <w:sz w:val="20"/>
      <w:szCs w:val="20"/>
    </w:rPr>
  </w:style>
  <w:style w:type="character" w:customStyle="1" w:styleId="CommentTextChar">
    <w:name w:val="Comment Text Char"/>
    <w:basedOn w:val="DefaultParagraphFont"/>
    <w:link w:val="CommentText"/>
    <w:uiPriority w:val="99"/>
    <w:rsid w:val="00484EE3"/>
    <w:rPr>
      <w:rFonts w:eastAsia="SimSu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4EE3"/>
    <w:rPr>
      <w:b/>
      <w:bCs/>
    </w:rPr>
  </w:style>
  <w:style w:type="character" w:customStyle="1" w:styleId="CommentSubjectChar">
    <w:name w:val="Comment Subject Char"/>
    <w:basedOn w:val="CommentTextChar"/>
    <w:link w:val="CommentSubject"/>
    <w:uiPriority w:val="99"/>
    <w:semiHidden/>
    <w:rsid w:val="00484EE3"/>
    <w:rPr>
      <w:rFonts w:eastAsia="SimSun"/>
      <w:b/>
      <w:bCs/>
      <w:kern w:val="0"/>
      <w:sz w:val="20"/>
      <w:szCs w:val="20"/>
      <w14:ligatures w14:val="none"/>
    </w:rPr>
  </w:style>
  <w:style w:type="table" w:styleId="TableGrid">
    <w:name w:val="Table Grid"/>
    <w:basedOn w:val="TableNormal"/>
    <w:uiPriority w:val="39"/>
    <w:rsid w:val="002B3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26E6"/>
    <w:pPr>
      <w:spacing w:after="0" w:line="240" w:lineRule="auto"/>
    </w:pPr>
    <w:rPr>
      <w:rFonts w:eastAsia="SimSun"/>
      <w:kern w:val="0"/>
      <w14:ligatures w14:val="none"/>
    </w:rPr>
  </w:style>
  <w:style w:type="character" w:styleId="UnresolvedMention">
    <w:name w:val="Unresolved Mention"/>
    <w:basedOn w:val="DefaultParagraphFont"/>
    <w:uiPriority w:val="99"/>
    <w:semiHidden/>
    <w:unhideWhenUsed/>
    <w:rsid w:val="00525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nsnewfarmer.ca/wp-content/uploads/sites/5/2018/02/GFB-Fact-Sheet-5-Forage-Mgt-Practices.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canfax.ca/resources/cost-of-production/cop-results.html" TargetMode="Externa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canfax.ca/membership/subscribe-now.html?view=signup"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nfax.ca/resources/cost-of-production/cop-results.html" TargetMode="External"/><Relationship Id="rId14" Type="http://schemas.openxmlformats.org/officeDocument/2006/relationships/image" Target="media/image1.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04C5-0FC8-4179-85F4-1DFAC3DA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Grant</dc:creator>
  <cp:keywords/>
  <dc:description/>
  <cp:lastModifiedBy>Brenna Grant</cp:lastModifiedBy>
  <cp:revision>3</cp:revision>
  <cp:lastPrinted>2025-09-17T14:33:00Z</cp:lastPrinted>
  <dcterms:created xsi:type="dcterms:W3CDTF">2025-09-17T14:33:00Z</dcterms:created>
  <dcterms:modified xsi:type="dcterms:W3CDTF">2025-09-17T14:33:00Z</dcterms:modified>
</cp:coreProperties>
</file>