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82200D" w14:textId="22B8BFE1" w:rsidR="006771AB" w:rsidRPr="00952C6E" w:rsidRDefault="006771AB" w:rsidP="006771AB">
      <w:pPr>
        <w:pStyle w:val="NormalWeb"/>
        <w:spacing w:before="0" w:beforeAutospacing="0" w:after="300" w:afterAutospacing="0"/>
        <w:jc w:val="both"/>
      </w:pPr>
      <w:bookmarkStart w:id="0" w:name="_GoBack"/>
      <w:bookmarkEnd w:id="0"/>
      <w:r w:rsidRPr="00952C6E">
        <w:t xml:space="preserve">Brian is the </w:t>
      </w:r>
      <w:r w:rsidR="00842950">
        <w:rPr>
          <w:lang w:val="en-US"/>
        </w:rPr>
        <w:t xml:space="preserve">Co-founder and </w:t>
      </w:r>
      <w:r w:rsidRPr="00952C6E">
        <w:t>Chief Executive Officer of Monter Capital Partnership</w:t>
      </w:r>
      <w:r w:rsidRPr="00952C6E">
        <w:rPr>
          <w:lang w:val="en-US"/>
        </w:rPr>
        <w:t xml:space="preserve">, a private equity firm with a focus on </w:t>
      </w:r>
      <w:r w:rsidR="002A441C">
        <w:rPr>
          <w:lang w:val="en-US"/>
        </w:rPr>
        <w:t>assets across Sub Saharan Africa</w:t>
      </w:r>
      <w:r w:rsidRPr="00952C6E">
        <w:t xml:space="preserve">. He has </w:t>
      </w:r>
      <w:r w:rsidRPr="00952C6E">
        <w:rPr>
          <w:lang w:val="en-US"/>
        </w:rPr>
        <w:t>extensive</w:t>
      </w:r>
      <w:r w:rsidRPr="00952C6E">
        <w:t xml:space="preserve"> experience in the insurance and financial services sectors, particularly in Finance, Credit and Investments acquired in various key positions. His career has involved fund and investment structuring, capital allocation, building and developing start-ups and early-stage businesses and guiding them to pre-eminence.</w:t>
      </w:r>
      <w:r w:rsidR="002A441C">
        <w:rPr>
          <w:lang w:val="en-US"/>
        </w:rPr>
        <w:t xml:space="preserve"> </w:t>
      </w:r>
      <w:r w:rsidRPr="00952C6E">
        <w:t xml:space="preserve">Brian is also founder of other institutions including Longhorn Capital Limited, a </w:t>
      </w:r>
      <w:r w:rsidR="005D1169" w:rsidRPr="00952C6E">
        <w:rPr>
          <w:lang w:val="en-US"/>
        </w:rPr>
        <w:t xml:space="preserve">diversified </w:t>
      </w:r>
      <w:r w:rsidRPr="00952C6E">
        <w:t>private investments firm</w:t>
      </w:r>
      <w:r w:rsidR="005D1169" w:rsidRPr="00952C6E">
        <w:rPr>
          <w:lang w:val="en-US"/>
        </w:rPr>
        <w:t xml:space="preserve"> </w:t>
      </w:r>
      <w:r w:rsidR="00312EEA" w:rsidRPr="00952C6E">
        <w:rPr>
          <w:lang w:val="en-US"/>
        </w:rPr>
        <w:t>that</w:t>
      </w:r>
      <w:r w:rsidR="005D1169" w:rsidRPr="00952C6E">
        <w:rPr>
          <w:lang w:val="en-US"/>
        </w:rPr>
        <w:t xml:space="preserve"> holds equity positions in </w:t>
      </w:r>
      <w:r w:rsidR="002A441C">
        <w:rPr>
          <w:lang w:val="en-US"/>
        </w:rPr>
        <w:t>several companies</w:t>
      </w:r>
      <w:r w:rsidR="005D1169" w:rsidRPr="00952C6E">
        <w:rPr>
          <w:lang w:val="en-US"/>
        </w:rPr>
        <w:t xml:space="preserve"> </w:t>
      </w:r>
      <w:r w:rsidR="002A441C">
        <w:rPr>
          <w:lang w:val="en-US"/>
        </w:rPr>
        <w:t>including</w:t>
      </w:r>
      <w:r w:rsidR="00A07928" w:rsidRPr="00952C6E">
        <w:rPr>
          <w:lang w:val="en-US"/>
        </w:rPr>
        <w:t xml:space="preserve"> </w:t>
      </w:r>
      <w:r w:rsidRPr="00952C6E">
        <w:t>Longhorn Associates Limited, a</w:t>
      </w:r>
      <w:r w:rsidR="005D1169" w:rsidRPr="00952C6E">
        <w:rPr>
          <w:lang w:val="en-US"/>
        </w:rPr>
        <w:t xml:space="preserve"> regulated</w:t>
      </w:r>
      <w:r w:rsidRPr="00952C6E">
        <w:t xml:space="preserve"> Asset Management company</w:t>
      </w:r>
      <w:r w:rsidR="002A441C">
        <w:rPr>
          <w:lang w:val="en-US"/>
        </w:rPr>
        <w:t xml:space="preserve"> </w:t>
      </w:r>
      <w:r w:rsidR="00EE58A2">
        <w:rPr>
          <w:lang w:val="en-US"/>
        </w:rPr>
        <w:t>domiciled</w:t>
      </w:r>
      <w:r w:rsidR="002A441C">
        <w:rPr>
          <w:lang w:val="en-US"/>
        </w:rPr>
        <w:t xml:space="preserve"> in Zambia</w:t>
      </w:r>
      <w:r w:rsidRPr="00952C6E">
        <w:t>.</w:t>
      </w:r>
    </w:p>
    <w:p w14:paraId="1E147C4D" w14:textId="1146EE30" w:rsidR="006771AB" w:rsidRPr="00952C6E" w:rsidRDefault="006771AB" w:rsidP="006771AB">
      <w:pPr>
        <w:pStyle w:val="NormalWeb"/>
        <w:spacing w:before="0" w:beforeAutospacing="0" w:after="300" w:afterAutospacing="0"/>
        <w:jc w:val="both"/>
      </w:pPr>
      <w:r w:rsidRPr="00952C6E">
        <w:t>Brian earned his Doctorate in Business Administration– Finance from the Binary University of Malaysia</w:t>
      </w:r>
      <w:r w:rsidR="00312EEA" w:rsidRPr="00952C6E">
        <w:rPr>
          <w:lang w:val="en-US"/>
        </w:rPr>
        <w:t xml:space="preserve"> and holds</w:t>
      </w:r>
      <w:r w:rsidRPr="00952C6E">
        <w:t xml:space="preserve">, among other qualifications, a Master of Business Administration. </w:t>
      </w:r>
      <w:r w:rsidR="00312EEA" w:rsidRPr="00952C6E">
        <w:rPr>
          <w:lang w:val="en-US"/>
        </w:rPr>
        <w:t>He</w:t>
      </w:r>
      <w:r w:rsidRPr="00952C6E">
        <w:t xml:space="preserve"> is a Chartered Treasurer and holder of the global Certified Treasury Professional (CTP) credential with the Association for Financial Professionals in the United States of America. </w:t>
      </w:r>
      <w:r w:rsidR="00312EEA" w:rsidRPr="00952C6E">
        <w:rPr>
          <w:lang w:val="en-US"/>
        </w:rPr>
        <w:t>Brian is</w:t>
      </w:r>
      <w:r w:rsidRPr="00952C6E">
        <w:t xml:space="preserve"> a holder of the Financial Modelling and Valuation Analyst and the Capital Markets &amp; Securities Analyst Charters with the Corporate Finance institute of Canada as well as a Commercial Real Estate Specialist with the same Institute.</w:t>
      </w:r>
    </w:p>
    <w:p w14:paraId="71DE881D" w14:textId="77777777" w:rsidR="006771AB" w:rsidRPr="00952C6E" w:rsidRDefault="006771AB" w:rsidP="006771AB">
      <w:pPr>
        <w:jc w:val="both"/>
        <w:rPr>
          <w:rFonts w:ascii="Times New Roman" w:hAnsi="Times New Roman" w:cs="Times New Roman"/>
        </w:rPr>
      </w:pPr>
    </w:p>
    <w:sectPr w:rsidR="006771AB" w:rsidRPr="00952C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AB"/>
    <w:rsid w:val="002A441C"/>
    <w:rsid w:val="00312EEA"/>
    <w:rsid w:val="00525C67"/>
    <w:rsid w:val="005D1169"/>
    <w:rsid w:val="006771AB"/>
    <w:rsid w:val="00796199"/>
    <w:rsid w:val="00842950"/>
    <w:rsid w:val="00873950"/>
    <w:rsid w:val="00952C6E"/>
    <w:rsid w:val="00A07928"/>
    <w:rsid w:val="00EE58A2"/>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7C85C"/>
  <w15:chartTrackingRefBased/>
  <w15:docId w15:val="{4D2B9E7F-4299-CF4F-A136-39FC5A67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aa-E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71A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303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Malambo</dc:creator>
  <cp:keywords/>
  <dc:description/>
  <cp:lastModifiedBy>Mary Flowers</cp:lastModifiedBy>
  <cp:revision>2</cp:revision>
  <dcterms:created xsi:type="dcterms:W3CDTF">2023-09-12T02:37:00Z</dcterms:created>
  <dcterms:modified xsi:type="dcterms:W3CDTF">2023-09-12T02:37:00Z</dcterms:modified>
</cp:coreProperties>
</file>