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2BA4" w14:textId="6AE9D504" w:rsidR="0040650C" w:rsidRDefault="00124682">
      <w:r w:rsidRPr="00124682">
        <w:t xml:space="preserve">Cole </w:t>
      </w:r>
      <w:r>
        <w:t xml:space="preserve">Eastman is an Associate at Benesch, Friedlander, Coplan &amp; Aronoff LLP. Cole </w:t>
      </w:r>
      <w:r w:rsidRPr="00124682">
        <w:t>focuses on providing licensing, regulatory, and transactional advice to businesses in cannabis, hospitality, and beyond. With clients ranging from multi-state operators to Social Equity Applicants – his primary focus has been assisting cannabis companies with regulatory and legal matters as they attempt to take their business from license to fully-operational facility. Over the course of his career, Cole has assisted in securing over 65 cannabis licenses in limited-license states.</w:t>
      </w:r>
    </w:p>
    <w:sectPr w:rsidR="00406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82"/>
    <w:rsid w:val="00124682"/>
    <w:rsid w:val="0040650C"/>
    <w:rsid w:val="0073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B252"/>
  <w15:chartTrackingRefBased/>
  <w15:docId w15:val="{1EDF6143-8FD3-4073-AFC1-8F3162A7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Katey Baker-Smith</dc:creator>
  <cp:keywords/>
  <dc:description/>
  <cp:lastModifiedBy>Katey Baker-Smith</cp:lastModifiedBy>
  <cp:revision>1</cp:revision>
  <dcterms:created xsi:type="dcterms:W3CDTF">2024-09-24T16:08:00Z</dcterms:created>
  <dcterms:modified xsi:type="dcterms:W3CDTF">2024-09-24T16:11:00Z</dcterms:modified>
</cp:coreProperties>
</file>