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9F47" w14:textId="24016EDD" w:rsidR="00254159" w:rsidRPr="00344FD4" w:rsidRDefault="00CD7FDB" w:rsidP="00CD7FDB">
      <w:pPr>
        <w:autoSpaceDE w:val="0"/>
        <w:autoSpaceDN w:val="0"/>
        <w:jc w:val="center"/>
        <w:rPr>
          <w:rFonts w:ascii="Arial" w:eastAsia="Calibri" w:hAnsi="Arial" w:cs="Arial"/>
          <w:b/>
          <w:bCs/>
          <w:sz w:val="32"/>
          <w:lang w:eastAsia="en-US"/>
        </w:rPr>
      </w:pPr>
      <w:r w:rsidRPr="00344FD4">
        <w:rPr>
          <w:rFonts w:ascii="Arial" w:eastAsia="Calibri" w:hAnsi="Arial" w:cs="Arial"/>
          <w:b/>
          <w:bCs/>
          <w:sz w:val="32"/>
          <w:lang w:eastAsia="en-US"/>
        </w:rPr>
        <w:t>RESTAURANT</w:t>
      </w:r>
      <w:r w:rsidR="002D259C">
        <w:rPr>
          <w:rFonts w:ascii="Arial" w:eastAsia="Calibri" w:hAnsi="Arial" w:cs="Arial"/>
          <w:b/>
          <w:bCs/>
          <w:sz w:val="32"/>
          <w:lang w:eastAsia="en-US"/>
        </w:rPr>
        <w:t xml:space="preserve"> REVITALIZATION FUND</w:t>
      </w:r>
    </w:p>
    <w:p w14:paraId="297E2742" w14:textId="5E38015C" w:rsidR="008D51E9" w:rsidRDefault="00CF2EE9" w:rsidP="008D51E9">
      <w:pPr>
        <w:numPr>
          <w:ilvl w:val="0"/>
          <w:numId w:val="36"/>
        </w:numPr>
        <w:autoSpaceDE w:val="0"/>
        <w:autoSpaceDN w:val="0"/>
        <w:spacing w:before="120"/>
        <w:rPr>
          <w:rFonts w:ascii="Arial" w:eastAsia="Calibri" w:hAnsi="Arial" w:cs="Arial"/>
          <w:lang w:eastAsia="en-US"/>
        </w:rPr>
      </w:pPr>
      <w:r w:rsidRPr="00CF2EE9">
        <w:rPr>
          <w:rFonts w:ascii="Arial" w:eastAsia="Calibri" w:hAnsi="Arial" w:cs="Arial"/>
          <w:lang w:eastAsia="en-US"/>
        </w:rPr>
        <w:t xml:space="preserve">The </w:t>
      </w:r>
      <w:r w:rsidRPr="00CF2EE9">
        <w:rPr>
          <w:rFonts w:ascii="Arial" w:eastAsia="Calibri" w:hAnsi="Arial" w:cs="Arial"/>
          <w:i/>
          <w:lang w:eastAsia="en-US"/>
        </w:rPr>
        <w:t>American Rescue Plan Act</w:t>
      </w:r>
      <w:r w:rsidRPr="00CF2EE9">
        <w:rPr>
          <w:rFonts w:ascii="Arial" w:eastAsia="Calibri" w:hAnsi="Arial" w:cs="Arial"/>
          <w:lang w:eastAsia="en-US"/>
        </w:rPr>
        <w:t xml:space="preserve"> </w:t>
      </w:r>
      <w:r>
        <w:rPr>
          <w:rFonts w:ascii="Arial" w:eastAsia="Calibri" w:hAnsi="Arial" w:cs="Arial"/>
          <w:lang w:eastAsia="en-US"/>
        </w:rPr>
        <w:t>e</w:t>
      </w:r>
      <w:r w:rsidR="00254159" w:rsidRPr="00254159">
        <w:rPr>
          <w:rFonts w:ascii="Arial" w:eastAsia="Calibri" w:hAnsi="Arial" w:cs="Arial"/>
          <w:lang w:eastAsia="en-US"/>
        </w:rPr>
        <w:t xml:space="preserve">stablishes a </w:t>
      </w:r>
      <w:r w:rsidR="00254159" w:rsidRPr="00254159">
        <w:rPr>
          <w:rFonts w:ascii="Arial" w:eastAsia="Calibri" w:hAnsi="Arial" w:cs="Arial"/>
          <w:b/>
          <w:bCs/>
          <w:lang w:eastAsia="en-US"/>
        </w:rPr>
        <w:t>$</w:t>
      </w:r>
      <w:r w:rsidR="00CD7FDB">
        <w:rPr>
          <w:rFonts w:ascii="Arial" w:eastAsia="Calibri" w:hAnsi="Arial" w:cs="Arial"/>
          <w:b/>
          <w:bCs/>
          <w:lang w:eastAsia="en-US"/>
        </w:rPr>
        <w:t>25</w:t>
      </w:r>
      <w:r w:rsidR="00B87BBB">
        <w:rPr>
          <w:rFonts w:ascii="Arial" w:eastAsia="Calibri" w:hAnsi="Arial" w:cs="Arial"/>
          <w:b/>
          <w:bCs/>
          <w:lang w:eastAsia="en-US"/>
        </w:rPr>
        <w:t xml:space="preserve"> billion</w:t>
      </w:r>
      <w:r w:rsidR="00254159" w:rsidRPr="00254159">
        <w:rPr>
          <w:rFonts w:ascii="Arial" w:eastAsia="Calibri" w:hAnsi="Arial" w:cs="Arial"/>
          <w:b/>
          <w:bCs/>
          <w:lang w:eastAsia="en-US"/>
        </w:rPr>
        <w:t xml:space="preserve"> </w:t>
      </w:r>
      <w:r w:rsidR="00254159" w:rsidRPr="00254159">
        <w:rPr>
          <w:rFonts w:ascii="Arial" w:eastAsia="Calibri" w:hAnsi="Arial" w:cs="Arial"/>
          <w:lang w:eastAsia="en-US"/>
        </w:rPr>
        <w:t xml:space="preserve">“Restaurant Revitalization Fund” </w:t>
      </w:r>
      <w:r w:rsidR="00F15222">
        <w:rPr>
          <w:rFonts w:ascii="Arial" w:eastAsia="Calibri" w:hAnsi="Arial" w:cs="Arial"/>
          <w:lang w:eastAsia="en-US"/>
        </w:rPr>
        <w:t xml:space="preserve">(RRF) </w:t>
      </w:r>
      <w:r w:rsidR="009A0A8A">
        <w:rPr>
          <w:rFonts w:ascii="Arial" w:eastAsia="Calibri" w:hAnsi="Arial" w:cs="Arial"/>
          <w:lang w:eastAsia="en-US"/>
        </w:rPr>
        <w:t>with</w:t>
      </w:r>
      <w:r w:rsidR="00254159" w:rsidRPr="00254159">
        <w:rPr>
          <w:rFonts w:ascii="Arial" w:eastAsia="Calibri" w:hAnsi="Arial" w:cs="Arial"/>
          <w:lang w:eastAsia="en-US"/>
        </w:rPr>
        <w:t xml:space="preserve">in the </w:t>
      </w:r>
      <w:r w:rsidR="009A0A8A">
        <w:rPr>
          <w:rFonts w:ascii="Arial" w:eastAsia="Calibri" w:hAnsi="Arial" w:cs="Arial"/>
          <w:lang w:eastAsia="en-US"/>
        </w:rPr>
        <w:t xml:space="preserve">U.S. </w:t>
      </w:r>
      <w:r w:rsidR="00CD7FDB">
        <w:rPr>
          <w:rFonts w:ascii="Arial" w:eastAsia="Calibri" w:hAnsi="Arial" w:cs="Arial"/>
          <w:lang w:eastAsia="en-US"/>
        </w:rPr>
        <w:t>Small Business Administration (SBA)</w:t>
      </w:r>
      <w:r w:rsidR="007224E8">
        <w:rPr>
          <w:rFonts w:ascii="Arial" w:eastAsia="Calibri" w:hAnsi="Arial" w:cs="Arial"/>
          <w:lang w:eastAsia="en-US"/>
        </w:rPr>
        <w:t>.</w:t>
      </w:r>
    </w:p>
    <w:p w14:paraId="0BFFB4EA" w14:textId="2814CB1D" w:rsidR="008D51E9" w:rsidRPr="008D51E9" w:rsidRDefault="008D51E9" w:rsidP="008D51E9">
      <w:pPr>
        <w:numPr>
          <w:ilvl w:val="0"/>
          <w:numId w:val="36"/>
        </w:numPr>
        <w:autoSpaceDE w:val="0"/>
        <w:autoSpaceDN w:val="0"/>
        <w:spacing w:before="120"/>
        <w:rPr>
          <w:rFonts w:ascii="Arial" w:eastAsia="Calibri" w:hAnsi="Arial" w:cs="Arial"/>
          <w:lang w:eastAsia="en-US"/>
        </w:rPr>
      </w:pPr>
      <w:r w:rsidRPr="008D51E9">
        <w:rPr>
          <w:rFonts w:ascii="Arial" w:eastAsia="Calibri" w:hAnsi="Arial" w:cs="Arial"/>
          <w:b/>
          <w:bCs/>
          <w:lang w:eastAsia="en-US"/>
        </w:rPr>
        <w:t xml:space="preserve">Grants: </w:t>
      </w:r>
      <w:r w:rsidRPr="008D51E9">
        <w:rPr>
          <w:rFonts w:ascii="Arial" w:eastAsia="Calibri" w:hAnsi="Arial" w:cs="Arial"/>
          <w:bCs/>
          <w:lang w:eastAsia="en-US"/>
        </w:rPr>
        <w:t xml:space="preserve">An eligible </w:t>
      </w:r>
      <w:r w:rsidR="0035521A">
        <w:rPr>
          <w:rFonts w:ascii="Arial" w:eastAsia="Calibri" w:hAnsi="Arial" w:cs="Arial"/>
          <w:bCs/>
          <w:lang w:eastAsia="en-US"/>
        </w:rPr>
        <w:t>business</w:t>
      </w:r>
      <w:r w:rsidRPr="008D51E9">
        <w:rPr>
          <w:rFonts w:ascii="Arial" w:eastAsia="Calibri" w:hAnsi="Arial" w:cs="Arial"/>
          <w:bCs/>
          <w:lang w:eastAsia="en-US"/>
        </w:rPr>
        <w:t xml:space="preserve"> </w:t>
      </w:r>
      <w:r>
        <w:rPr>
          <w:rFonts w:ascii="Arial" w:eastAsia="Calibri" w:hAnsi="Arial" w:cs="Arial"/>
          <w:bCs/>
          <w:lang w:eastAsia="en-US"/>
        </w:rPr>
        <w:t>may</w:t>
      </w:r>
      <w:r w:rsidRPr="008D51E9">
        <w:rPr>
          <w:rFonts w:ascii="Arial" w:eastAsia="Calibri" w:hAnsi="Arial" w:cs="Arial"/>
          <w:bCs/>
          <w:lang w:eastAsia="en-US"/>
        </w:rPr>
        <w:t xml:space="preserve"> receive a tax-free federal grant equal to the amount of its </w:t>
      </w:r>
      <w:r w:rsidRPr="008D51E9">
        <w:rPr>
          <w:rFonts w:ascii="Arial" w:eastAsia="Calibri" w:hAnsi="Arial" w:cs="Arial"/>
          <w:bCs/>
          <w:i/>
          <w:lang w:eastAsia="en-US"/>
        </w:rPr>
        <w:t>pandemic-related revenue loss</w:t>
      </w:r>
      <w:r w:rsidRPr="008D51E9">
        <w:rPr>
          <w:rFonts w:ascii="Arial" w:eastAsia="Calibri" w:hAnsi="Arial" w:cs="Arial"/>
          <w:bCs/>
          <w:lang w:eastAsia="en-US"/>
        </w:rPr>
        <w:t xml:space="preserve">, </w:t>
      </w:r>
      <w:r w:rsidRPr="008D51E9">
        <w:rPr>
          <w:rFonts w:ascii="Arial" w:eastAsia="Calibri" w:hAnsi="Arial" w:cs="Arial"/>
          <w:lang w:eastAsia="en-US"/>
        </w:rPr>
        <w:t xml:space="preserve">calculated by subtracting </w:t>
      </w:r>
      <w:r w:rsidR="0035521A">
        <w:rPr>
          <w:rFonts w:ascii="Arial" w:eastAsia="Calibri" w:hAnsi="Arial" w:cs="Arial"/>
          <w:lang w:eastAsia="en-US"/>
        </w:rPr>
        <w:t>its</w:t>
      </w:r>
      <w:r w:rsidRPr="008D51E9">
        <w:rPr>
          <w:rFonts w:ascii="Arial" w:eastAsia="Calibri" w:hAnsi="Arial" w:cs="Arial"/>
          <w:lang w:eastAsia="en-US"/>
        </w:rPr>
        <w:t xml:space="preserve"> 2020 </w:t>
      </w:r>
      <w:r w:rsidR="00A45522">
        <w:rPr>
          <w:rFonts w:ascii="Arial" w:eastAsia="Calibri" w:hAnsi="Arial" w:cs="Arial"/>
          <w:lang w:eastAsia="en-US"/>
        </w:rPr>
        <w:t>gross receipts</w:t>
      </w:r>
      <w:r w:rsidRPr="008D51E9">
        <w:rPr>
          <w:rFonts w:ascii="Arial" w:eastAsia="Calibri" w:hAnsi="Arial" w:cs="Arial"/>
          <w:lang w:eastAsia="en-US"/>
        </w:rPr>
        <w:t xml:space="preserve"> from </w:t>
      </w:r>
      <w:r w:rsidR="0035521A">
        <w:rPr>
          <w:rFonts w:ascii="Arial" w:eastAsia="Calibri" w:hAnsi="Arial" w:cs="Arial"/>
          <w:lang w:eastAsia="en-US"/>
        </w:rPr>
        <w:t>its</w:t>
      </w:r>
      <w:r w:rsidRPr="008D51E9">
        <w:rPr>
          <w:rFonts w:ascii="Arial" w:eastAsia="Calibri" w:hAnsi="Arial" w:cs="Arial"/>
          <w:lang w:eastAsia="en-US"/>
        </w:rPr>
        <w:t xml:space="preserve"> 2019 </w:t>
      </w:r>
      <w:r w:rsidR="00A45522">
        <w:rPr>
          <w:rFonts w:ascii="Arial" w:eastAsia="Calibri" w:hAnsi="Arial" w:cs="Arial"/>
          <w:lang w:eastAsia="en-US"/>
        </w:rPr>
        <w:t>gross receipts</w:t>
      </w:r>
      <w:r w:rsidRPr="008D51E9">
        <w:rPr>
          <w:rFonts w:ascii="Arial" w:eastAsia="Calibri" w:hAnsi="Arial" w:cs="Arial"/>
          <w:lang w:eastAsia="en-US"/>
        </w:rPr>
        <w:t xml:space="preserve">. </w:t>
      </w:r>
    </w:p>
    <w:p w14:paraId="6BCC39CA" w14:textId="4EDC6065" w:rsidR="008D51E9" w:rsidRDefault="00A45522" w:rsidP="006F2D02">
      <w:pPr>
        <w:numPr>
          <w:ilvl w:val="1"/>
          <w:numId w:val="37"/>
        </w:numPr>
        <w:autoSpaceDE w:val="0"/>
        <w:autoSpaceDN w:val="0"/>
        <w:spacing w:before="60"/>
        <w:rPr>
          <w:rFonts w:ascii="Arial" w:eastAsia="Calibri" w:hAnsi="Arial" w:cs="Arial"/>
          <w:lang w:eastAsia="en-US"/>
        </w:rPr>
      </w:pPr>
      <w:r>
        <w:rPr>
          <w:rFonts w:ascii="Arial" w:eastAsia="Calibri" w:hAnsi="Arial" w:cs="Arial"/>
          <w:lang w:eastAsia="en-US"/>
        </w:rPr>
        <w:t>If</w:t>
      </w:r>
      <w:r w:rsidR="008D51E9" w:rsidRPr="008D51E9">
        <w:rPr>
          <w:rFonts w:ascii="Arial" w:eastAsia="Calibri" w:hAnsi="Arial" w:cs="Arial"/>
          <w:lang w:eastAsia="en-US"/>
        </w:rPr>
        <w:t xml:space="preserve"> </w:t>
      </w:r>
      <w:r w:rsidR="00074BE1">
        <w:rPr>
          <w:rFonts w:ascii="Arial" w:eastAsia="Calibri" w:hAnsi="Arial" w:cs="Arial"/>
          <w:lang w:eastAsia="en-US"/>
        </w:rPr>
        <w:t xml:space="preserve">the business is </w:t>
      </w:r>
      <w:r w:rsidR="008D51E9" w:rsidRPr="008D51E9">
        <w:rPr>
          <w:rFonts w:ascii="Arial" w:eastAsia="Calibri" w:hAnsi="Arial" w:cs="Arial"/>
          <w:lang w:eastAsia="en-US"/>
        </w:rPr>
        <w:t xml:space="preserve">not in operation for the entirety of 2019, the </w:t>
      </w:r>
      <w:r>
        <w:rPr>
          <w:rFonts w:ascii="Arial" w:eastAsia="Calibri" w:hAnsi="Arial" w:cs="Arial"/>
          <w:lang w:eastAsia="en-US"/>
        </w:rPr>
        <w:t xml:space="preserve">total </w:t>
      </w:r>
      <w:r w:rsidR="00074BE1">
        <w:rPr>
          <w:rFonts w:ascii="Arial" w:eastAsia="Calibri" w:hAnsi="Arial" w:cs="Arial"/>
          <w:lang w:eastAsia="en-US"/>
        </w:rPr>
        <w:t>is</w:t>
      </w:r>
      <w:r>
        <w:rPr>
          <w:rFonts w:ascii="Arial" w:eastAsia="Calibri" w:hAnsi="Arial" w:cs="Arial"/>
          <w:lang w:eastAsia="en-US"/>
        </w:rPr>
        <w:t xml:space="preserve"> the</w:t>
      </w:r>
      <w:r w:rsidR="008D51E9" w:rsidRPr="008D51E9">
        <w:rPr>
          <w:rFonts w:ascii="Arial" w:eastAsia="Calibri" w:hAnsi="Arial" w:cs="Arial"/>
          <w:lang w:eastAsia="en-US"/>
        </w:rPr>
        <w:t xml:space="preserve"> difference between </w:t>
      </w:r>
      <w:r>
        <w:rPr>
          <w:rFonts w:ascii="Arial" w:eastAsia="Calibri" w:hAnsi="Arial" w:cs="Arial"/>
          <w:lang w:eastAsia="en-US"/>
        </w:rPr>
        <w:t>12</w:t>
      </w:r>
      <w:r w:rsidR="008D51E9" w:rsidRPr="008D51E9">
        <w:rPr>
          <w:rFonts w:ascii="Arial" w:eastAsia="Calibri" w:hAnsi="Arial" w:cs="Arial"/>
          <w:lang w:eastAsia="en-US"/>
        </w:rPr>
        <w:t xml:space="preserve"> times the average monthly </w:t>
      </w:r>
      <w:r>
        <w:rPr>
          <w:rFonts w:ascii="Arial" w:eastAsia="Calibri" w:hAnsi="Arial" w:cs="Arial"/>
          <w:lang w:eastAsia="en-US"/>
        </w:rPr>
        <w:t>gross receipts</w:t>
      </w:r>
      <w:r w:rsidR="008D51E9" w:rsidRPr="008D51E9">
        <w:rPr>
          <w:rFonts w:ascii="Arial" w:eastAsia="Calibri" w:hAnsi="Arial" w:cs="Arial"/>
          <w:lang w:eastAsia="en-US"/>
        </w:rPr>
        <w:t xml:space="preserve"> for 2019 and </w:t>
      </w:r>
      <w:r w:rsidR="00074BE1">
        <w:rPr>
          <w:rFonts w:ascii="Arial" w:eastAsia="Calibri" w:hAnsi="Arial" w:cs="Arial"/>
          <w:lang w:eastAsia="en-US"/>
        </w:rPr>
        <w:t xml:space="preserve">the </w:t>
      </w:r>
      <w:r>
        <w:rPr>
          <w:rFonts w:ascii="Arial" w:eastAsia="Calibri" w:hAnsi="Arial" w:cs="Arial"/>
          <w:lang w:eastAsia="en-US"/>
        </w:rPr>
        <w:t>average monthly gross receipts</w:t>
      </w:r>
      <w:r w:rsidR="008D51E9" w:rsidRPr="008D51E9">
        <w:rPr>
          <w:rFonts w:ascii="Arial" w:eastAsia="Calibri" w:hAnsi="Arial" w:cs="Arial"/>
          <w:lang w:eastAsia="en-US"/>
        </w:rPr>
        <w:t xml:space="preserve"> in 2020 </w:t>
      </w:r>
      <w:r>
        <w:rPr>
          <w:rFonts w:ascii="Arial" w:eastAsia="Calibri" w:hAnsi="Arial" w:cs="Arial"/>
          <w:lang w:eastAsia="en-US"/>
        </w:rPr>
        <w:t>(</w:t>
      </w:r>
      <w:r w:rsidR="008D51E9" w:rsidRPr="008D51E9">
        <w:rPr>
          <w:rFonts w:ascii="Arial" w:eastAsia="Calibri" w:hAnsi="Arial" w:cs="Arial"/>
          <w:lang w:eastAsia="en-US"/>
        </w:rPr>
        <w:t xml:space="preserve">or a formula </w:t>
      </w:r>
      <w:r>
        <w:rPr>
          <w:rFonts w:ascii="Arial" w:eastAsia="Calibri" w:hAnsi="Arial" w:cs="Arial"/>
          <w:lang w:eastAsia="en-US"/>
        </w:rPr>
        <w:t>from SBA).</w:t>
      </w:r>
    </w:p>
    <w:p w14:paraId="14D1F0D9" w14:textId="36468DB0" w:rsidR="008D51E9" w:rsidRDefault="00A45522" w:rsidP="006F2D02">
      <w:pPr>
        <w:numPr>
          <w:ilvl w:val="1"/>
          <w:numId w:val="37"/>
        </w:numPr>
        <w:autoSpaceDE w:val="0"/>
        <w:autoSpaceDN w:val="0"/>
        <w:spacing w:before="60"/>
        <w:rPr>
          <w:rFonts w:ascii="Arial" w:eastAsia="Calibri" w:hAnsi="Arial" w:cs="Arial"/>
          <w:lang w:eastAsia="en-US"/>
        </w:rPr>
      </w:pPr>
      <w:r>
        <w:rPr>
          <w:rFonts w:ascii="Arial" w:eastAsia="Calibri" w:hAnsi="Arial" w:cs="Arial"/>
          <w:lang w:eastAsia="en-US"/>
        </w:rPr>
        <w:t>If</w:t>
      </w:r>
      <w:r w:rsidR="008D51E9" w:rsidRPr="008D51E9">
        <w:rPr>
          <w:rFonts w:ascii="Arial" w:eastAsia="Calibri" w:hAnsi="Arial" w:cs="Arial"/>
          <w:lang w:eastAsia="en-US"/>
        </w:rPr>
        <w:t xml:space="preserve"> </w:t>
      </w:r>
      <w:r w:rsidR="00074BE1">
        <w:rPr>
          <w:rFonts w:ascii="Arial" w:eastAsia="Calibri" w:hAnsi="Arial" w:cs="Arial"/>
          <w:lang w:eastAsia="en-US"/>
        </w:rPr>
        <w:t xml:space="preserve">the business is </w:t>
      </w:r>
      <w:r w:rsidR="008D51E9" w:rsidRPr="008D51E9">
        <w:rPr>
          <w:rFonts w:ascii="Arial" w:eastAsia="Calibri" w:hAnsi="Arial" w:cs="Arial"/>
          <w:lang w:eastAsia="en-US"/>
        </w:rPr>
        <w:t xml:space="preserve">not in operation until 2020, </w:t>
      </w:r>
      <w:r w:rsidR="00074BE1">
        <w:rPr>
          <w:rFonts w:ascii="Arial" w:eastAsia="Calibri" w:hAnsi="Arial" w:cs="Arial"/>
          <w:lang w:eastAsia="en-US"/>
        </w:rPr>
        <w:t>it</w:t>
      </w:r>
      <w:r w:rsidR="008D51E9" w:rsidRPr="008D51E9">
        <w:rPr>
          <w:rFonts w:ascii="Arial" w:eastAsia="Calibri" w:hAnsi="Arial" w:cs="Arial"/>
          <w:lang w:eastAsia="en-US"/>
        </w:rPr>
        <w:t xml:space="preserve"> can receive a grant equal to the amount of </w:t>
      </w:r>
      <w:r w:rsidR="00F15222">
        <w:rPr>
          <w:rFonts w:ascii="Arial" w:eastAsia="Calibri" w:hAnsi="Arial" w:cs="Arial"/>
          <w:lang w:eastAsia="en-US"/>
        </w:rPr>
        <w:t xml:space="preserve">“eligible </w:t>
      </w:r>
      <w:r w:rsidR="008D51E9" w:rsidRPr="008D51E9">
        <w:rPr>
          <w:rFonts w:ascii="Arial" w:eastAsia="Calibri" w:hAnsi="Arial" w:cs="Arial"/>
          <w:lang w:eastAsia="en-US"/>
        </w:rPr>
        <w:t>expenses</w:t>
      </w:r>
      <w:r w:rsidR="00F15222">
        <w:rPr>
          <w:rFonts w:ascii="Arial" w:eastAsia="Calibri" w:hAnsi="Arial" w:cs="Arial"/>
          <w:lang w:eastAsia="en-US"/>
        </w:rPr>
        <w:t>”</w:t>
      </w:r>
      <w:r w:rsidR="008D51E9" w:rsidRPr="008D51E9">
        <w:rPr>
          <w:rFonts w:ascii="Arial" w:eastAsia="Calibri" w:hAnsi="Arial" w:cs="Arial"/>
          <w:lang w:eastAsia="en-US"/>
        </w:rPr>
        <w:t xml:space="preserve"> </w:t>
      </w:r>
      <w:r w:rsidR="00074BE1">
        <w:rPr>
          <w:rFonts w:ascii="Arial" w:eastAsia="Calibri" w:hAnsi="Arial" w:cs="Arial"/>
          <w:lang w:eastAsia="en-US"/>
        </w:rPr>
        <w:t>subtracted by</w:t>
      </w:r>
      <w:r w:rsidR="008D51E9" w:rsidRPr="008D51E9">
        <w:rPr>
          <w:rFonts w:ascii="Arial" w:eastAsia="Calibri" w:hAnsi="Arial" w:cs="Arial"/>
          <w:lang w:eastAsia="en-US"/>
        </w:rPr>
        <w:t xml:space="preserve"> </w:t>
      </w:r>
      <w:r w:rsidR="00074BE1">
        <w:rPr>
          <w:rFonts w:ascii="Arial" w:eastAsia="Calibri" w:hAnsi="Arial" w:cs="Arial"/>
          <w:lang w:eastAsia="en-US"/>
        </w:rPr>
        <w:t>its</w:t>
      </w:r>
      <w:r w:rsidR="008D51E9" w:rsidRPr="008D51E9">
        <w:rPr>
          <w:rFonts w:ascii="Arial" w:eastAsia="Calibri" w:hAnsi="Arial" w:cs="Arial"/>
          <w:lang w:eastAsia="en-US"/>
        </w:rPr>
        <w:t xml:space="preserve"> </w:t>
      </w:r>
      <w:r w:rsidR="00F83306">
        <w:rPr>
          <w:rFonts w:ascii="Arial" w:eastAsia="Calibri" w:hAnsi="Arial" w:cs="Arial"/>
          <w:lang w:eastAsia="en-US"/>
        </w:rPr>
        <w:t>gross receipts received (or a formula from SBA).</w:t>
      </w:r>
    </w:p>
    <w:p w14:paraId="2FEC076F" w14:textId="71B90ACF" w:rsidR="00DC0306" w:rsidRDefault="00415A7A" w:rsidP="006F2D02">
      <w:pPr>
        <w:numPr>
          <w:ilvl w:val="1"/>
          <w:numId w:val="37"/>
        </w:numPr>
        <w:autoSpaceDE w:val="0"/>
        <w:autoSpaceDN w:val="0"/>
        <w:spacing w:before="60"/>
        <w:rPr>
          <w:rFonts w:ascii="Arial" w:eastAsia="Calibri" w:hAnsi="Arial" w:cs="Arial"/>
          <w:lang w:eastAsia="en-US"/>
        </w:rPr>
      </w:pPr>
      <w:r>
        <w:rPr>
          <w:rFonts w:ascii="Arial" w:eastAsia="Calibri" w:hAnsi="Arial" w:cs="Arial"/>
          <w:lang w:eastAsia="en-US"/>
        </w:rPr>
        <w:t xml:space="preserve">If </w:t>
      </w:r>
      <w:r w:rsidR="00201555">
        <w:rPr>
          <w:rFonts w:ascii="Arial" w:eastAsia="Calibri" w:hAnsi="Arial" w:cs="Arial"/>
          <w:lang w:eastAsia="en-US"/>
        </w:rPr>
        <w:t xml:space="preserve">the business is </w:t>
      </w:r>
      <w:r>
        <w:rPr>
          <w:rFonts w:ascii="Arial" w:eastAsia="Calibri" w:hAnsi="Arial" w:cs="Arial"/>
          <w:lang w:eastAsia="en-US"/>
        </w:rPr>
        <w:t xml:space="preserve">not yet in operation as of </w:t>
      </w:r>
      <w:r w:rsidR="00201555">
        <w:rPr>
          <w:rFonts w:ascii="Arial" w:eastAsia="Calibri" w:hAnsi="Arial" w:cs="Arial"/>
          <w:lang w:eastAsia="en-US"/>
        </w:rPr>
        <w:t xml:space="preserve">the application date, but it </w:t>
      </w:r>
      <w:r>
        <w:rPr>
          <w:rFonts w:ascii="Arial" w:eastAsia="Calibri" w:hAnsi="Arial" w:cs="Arial"/>
          <w:lang w:eastAsia="en-US"/>
        </w:rPr>
        <w:t>has</w:t>
      </w:r>
      <w:r w:rsidR="008D51E9" w:rsidRPr="008D51E9">
        <w:rPr>
          <w:rFonts w:ascii="Arial" w:eastAsia="Calibri" w:hAnsi="Arial" w:cs="Arial"/>
          <w:lang w:eastAsia="en-US"/>
        </w:rPr>
        <w:t xml:space="preserve"> </w:t>
      </w:r>
      <w:r w:rsidR="00201555">
        <w:rPr>
          <w:rFonts w:ascii="Arial" w:eastAsia="Calibri" w:hAnsi="Arial" w:cs="Arial"/>
          <w:lang w:eastAsia="en-US"/>
        </w:rPr>
        <w:t>made</w:t>
      </w:r>
      <w:r w:rsidR="008D51E9" w:rsidRPr="008D51E9">
        <w:rPr>
          <w:rFonts w:ascii="Arial" w:eastAsia="Calibri" w:hAnsi="Arial" w:cs="Arial"/>
          <w:lang w:eastAsia="en-US"/>
        </w:rPr>
        <w:t xml:space="preserve"> </w:t>
      </w:r>
      <w:r>
        <w:rPr>
          <w:rFonts w:ascii="Arial" w:eastAsia="Calibri" w:hAnsi="Arial" w:cs="Arial"/>
          <w:lang w:eastAsia="en-US"/>
        </w:rPr>
        <w:t>“</w:t>
      </w:r>
      <w:r w:rsidR="00F15222">
        <w:rPr>
          <w:rFonts w:ascii="Arial" w:eastAsia="Calibri" w:hAnsi="Arial" w:cs="Arial"/>
          <w:lang w:eastAsia="en-US"/>
        </w:rPr>
        <w:t xml:space="preserve">eligible </w:t>
      </w:r>
      <w:r w:rsidR="008D51E9" w:rsidRPr="008D51E9">
        <w:rPr>
          <w:rFonts w:ascii="Arial" w:eastAsia="Calibri" w:hAnsi="Arial" w:cs="Arial"/>
          <w:lang w:eastAsia="en-US"/>
        </w:rPr>
        <w:t>expenses,</w:t>
      </w:r>
      <w:r>
        <w:rPr>
          <w:rFonts w:ascii="Arial" w:eastAsia="Calibri" w:hAnsi="Arial" w:cs="Arial"/>
          <w:lang w:eastAsia="en-US"/>
        </w:rPr>
        <w:t>”</w:t>
      </w:r>
      <w:r w:rsidR="008D51E9" w:rsidRPr="008D51E9">
        <w:rPr>
          <w:rFonts w:ascii="Arial" w:eastAsia="Calibri" w:hAnsi="Arial" w:cs="Arial"/>
          <w:lang w:eastAsia="en-US"/>
        </w:rPr>
        <w:t xml:space="preserve"> the grant would be made </w:t>
      </w:r>
      <w:r>
        <w:rPr>
          <w:rFonts w:ascii="Arial" w:eastAsia="Calibri" w:hAnsi="Arial" w:cs="Arial"/>
          <w:lang w:eastAsia="en-US"/>
        </w:rPr>
        <w:t>equal to those expenses (or a formula from SBA).</w:t>
      </w:r>
    </w:p>
    <w:p w14:paraId="62476042" w14:textId="65CF1462" w:rsidR="005641D8" w:rsidRDefault="005641D8" w:rsidP="005641D8">
      <w:pPr>
        <w:pStyle w:val="ListParagraph"/>
        <w:numPr>
          <w:ilvl w:val="0"/>
          <w:numId w:val="38"/>
        </w:numPr>
        <w:autoSpaceDE w:val="0"/>
        <w:autoSpaceDN w:val="0"/>
        <w:spacing w:before="60"/>
        <w:rPr>
          <w:rFonts w:ascii="Arial" w:eastAsia="Calibri" w:hAnsi="Arial" w:cs="Arial"/>
          <w:lang w:eastAsia="en-US"/>
        </w:rPr>
      </w:pPr>
      <w:r w:rsidRPr="005641D8">
        <w:rPr>
          <w:rFonts w:ascii="Arial" w:eastAsia="Calibri" w:hAnsi="Arial" w:cs="Arial"/>
          <w:b/>
          <w:lang w:eastAsia="en-US"/>
        </w:rPr>
        <w:t>Deduction of First and Second Draw PPP Loan Funds</w:t>
      </w:r>
      <w:r w:rsidRPr="005641D8">
        <w:rPr>
          <w:rFonts w:ascii="Arial" w:eastAsia="Calibri" w:hAnsi="Arial" w:cs="Arial"/>
          <w:lang w:eastAsia="en-US"/>
        </w:rPr>
        <w:t xml:space="preserve">: </w:t>
      </w:r>
      <w:r w:rsidRPr="005641D8">
        <w:rPr>
          <w:rFonts w:ascii="Arial" w:eastAsia="Calibri" w:hAnsi="Arial" w:cs="Arial"/>
          <w:i/>
          <w:lang w:eastAsia="en-US"/>
        </w:rPr>
        <w:t>Pandemic-related revenue losses</w:t>
      </w:r>
      <w:r w:rsidRPr="005641D8">
        <w:rPr>
          <w:rFonts w:ascii="Arial" w:eastAsia="Calibri" w:hAnsi="Arial" w:cs="Arial"/>
          <w:lang w:eastAsia="en-US"/>
        </w:rPr>
        <w:t xml:space="preserve"> for </w:t>
      </w:r>
      <w:r w:rsidR="00C34806">
        <w:rPr>
          <w:rFonts w:ascii="Arial" w:eastAsia="Calibri" w:hAnsi="Arial" w:cs="Arial"/>
          <w:lang w:eastAsia="en-US"/>
        </w:rPr>
        <w:t>business</w:t>
      </w:r>
      <w:r w:rsidRPr="005641D8">
        <w:rPr>
          <w:rFonts w:ascii="Arial" w:eastAsia="Calibri" w:hAnsi="Arial" w:cs="Arial"/>
          <w:lang w:eastAsia="en-US"/>
        </w:rPr>
        <w:t xml:space="preserve"> are </w:t>
      </w:r>
      <w:r w:rsidRPr="009055E8">
        <w:rPr>
          <w:rFonts w:ascii="Arial" w:eastAsia="Calibri" w:hAnsi="Arial" w:cs="Arial"/>
          <w:u w:val="single"/>
          <w:lang w:eastAsia="en-US"/>
        </w:rPr>
        <w:t>reduced by any amounts received</w:t>
      </w:r>
      <w:r w:rsidR="009055E8">
        <w:rPr>
          <w:rFonts w:ascii="Arial" w:eastAsia="Calibri" w:hAnsi="Arial" w:cs="Arial"/>
          <w:lang w:eastAsia="en-US"/>
        </w:rPr>
        <w:t xml:space="preserve"> from </w:t>
      </w:r>
      <w:r>
        <w:rPr>
          <w:rFonts w:ascii="Arial" w:eastAsia="Calibri" w:hAnsi="Arial" w:cs="Arial"/>
          <w:lang w:eastAsia="en-US"/>
        </w:rPr>
        <w:t>Paycheck Protection Program (PPP) First Draw and Second Draw loan</w:t>
      </w:r>
      <w:r w:rsidR="009055E8">
        <w:rPr>
          <w:rFonts w:ascii="Arial" w:eastAsia="Calibri" w:hAnsi="Arial" w:cs="Arial"/>
          <w:lang w:eastAsia="en-US"/>
        </w:rPr>
        <w:t>s</w:t>
      </w:r>
      <w:r>
        <w:rPr>
          <w:rFonts w:ascii="Arial" w:eastAsia="Calibri" w:hAnsi="Arial" w:cs="Arial"/>
          <w:lang w:eastAsia="en-US"/>
        </w:rPr>
        <w:t xml:space="preserve"> in 2020 </w:t>
      </w:r>
      <w:r w:rsidR="009055E8">
        <w:rPr>
          <w:rFonts w:ascii="Arial" w:eastAsia="Calibri" w:hAnsi="Arial" w:cs="Arial"/>
          <w:lang w:eastAsia="en-US"/>
        </w:rPr>
        <w:t>and/</w:t>
      </w:r>
      <w:r>
        <w:rPr>
          <w:rFonts w:ascii="Arial" w:eastAsia="Calibri" w:hAnsi="Arial" w:cs="Arial"/>
          <w:lang w:eastAsia="en-US"/>
        </w:rPr>
        <w:t>or 2021.</w:t>
      </w:r>
    </w:p>
    <w:p w14:paraId="643FC2EE" w14:textId="77777777" w:rsidR="005641D8" w:rsidRPr="00C34806" w:rsidRDefault="005641D8" w:rsidP="005641D8">
      <w:pPr>
        <w:pStyle w:val="ListParagraph"/>
        <w:autoSpaceDE w:val="0"/>
        <w:autoSpaceDN w:val="0"/>
        <w:spacing w:before="60"/>
        <w:ind w:left="960"/>
        <w:rPr>
          <w:rFonts w:ascii="Arial" w:eastAsia="Calibri" w:hAnsi="Arial" w:cs="Arial"/>
          <w:sz w:val="8"/>
          <w:szCs w:val="12"/>
          <w:lang w:eastAsia="en-US"/>
        </w:rPr>
      </w:pPr>
    </w:p>
    <w:p w14:paraId="5235821D" w14:textId="78505C77" w:rsidR="00DC0306" w:rsidRDefault="00DC0306" w:rsidP="005641D8">
      <w:pPr>
        <w:pStyle w:val="ListParagraph"/>
        <w:numPr>
          <w:ilvl w:val="0"/>
          <w:numId w:val="38"/>
        </w:numPr>
        <w:autoSpaceDE w:val="0"/>
        <w:autoSpaceDN w:val="0"/>
        <w:spacing w:before="120"/>
        <w:ind w:left="965"/>
        <w:rPr>
          <w:rFonts w:ascii="Arial" w:eastAsia="Calibri" w:hAnsi="Arial" w:cs="Arial"/>
          <w:lang w:eastAsia="en-US"/>
        </w:rPr>
      </w:pPr>
      <w:r>
        <w:rPr>
          <w:rFonts w:ascii="Arial" w:eastAsia="Calibri" w:hAnsi="Arial" w:cs="Arial"/>
          <w:b/>
          <w:bCs/>
          <w:lang w:eastAsia="en-US"/>
        </w:rPr>
        <w:t>Distribution</w:t>
      </w:r>
      <w:r w:rsidRPr="008D51E9">
        <w:rPr>
          <w:rFonts w:ascii="Arial" w:eastAsia="Calibri" w:hAnsi="Arial" w:cs="Arial"/>
          <w:b/>
          <w:bCs/>
          <w:lang w:eastAsia="en-US"/>
        </w:rPr>
        <w:t xml:space="preserve">: </w:t>
      </w:r>
      <w:r w:rsidR="00E01352" w:rsidRPr="00E01352">
        <w:rPr>
          <w:rFonts w:ascii="Arial" w:eastAsia="Calibri" w:hAnsi="Arial" w:cs="Arial"/>
          <w:bCs/>
          <w:lang w:eastAsia="en-US"/>
        </w:rPr>
        <w:t>The</w:t>
      </w:r>
      <w:r w:rsidR="00E01352">
        <w:rPr>
          <w:rFonts w:ascii="Arial" w:eastAsia="Calibri" w:hAnsi="Arial" w:cs="Arial"/>
          <w:b/>
          <w:bCs/>
          <w:lang w:eastAsia="en-US"/>
        </w:rPr>
        <w:t xml:space="preserve"> </w:t>
      </w:r>
      <w:r>
        <w:rPr>
          <w:rFonts w:ascii="Arial" w:eastAsia="Calibri" w:hAnsi="Arial" w:cs="Arial"/>
          <w:bCs/>
          <w:lang w:eastAsia="en-US"/>
        </w:rPr>
        <w:t xml:space="preserve">SBA can </w:t>
      </w:r>
      <w:r w:rsidR="008841CA">
        <w:rPr>
          <w:rFonts w:ascii="Arial" w:eastAsia="Calibri" w:hAnsi="Arial" w:cs="Arial"/>
          <w:bCs/>
          <w:lang w:eastAsia="en-US"/>
        </w:rPr>
        <w:t>adjust</w:t>
      </w:r>
      <w:r>
        <w:rPr>
          <w:rFonts w:ascii="Arial" w:eastAsia="Calibri" w:hAnsi="Arial" w:cs="Arial"/>
          <w:bCs/>
          <w:lang w:eastAsia="en-US"/>
        </w:rPr>
        <w:t xml:space="preserve"> </w:t>
      </w:r>
      <w:r w:rsidR="008841CA">
        <w:rPr>
          <w:rFonts w:ascii="Arial" w:eastAsia="Calibri" w:hAnsi="Arial" w:cs="Arial"/>
          <w:bCs/>
          <w:lang w:eastAsia="en-US"/>
        </w:rPr>
        <w:t xml:space="preserve">awards </w:t>
      </w:r>
      <w:r>
        <w:rPr>
          <w:rFonts w:ascii="Arial" w:eastAsia="Calibri" w:hAnsi="Arial" w:cs="Arial"/>
          <w:bCs/>
          <w:lang w:eastAsia="en-US"/>
        </w:rPr>
        <w:t>based on demand and “relative local costs</w:t>
      </w:r>
      <w:r w:rsidR="008841CA">
        <w:rPr>
          <w:rFonts w:ascii="Arial" w:eastAsia="Calibri" w:hAnsi="Arial" w:cs="Arial"/>
          <w:bCs/>
          <w:lang w:eastAsia="en-US"/>
        </w:rPr>
        <w:t xml:space="preserve">” in the markets where RRF businesses </w:t>
      </w:r>
      <w:r>
        <w:rPr>
          <w:rFonts w:ascii="Arial" w:eastAsia="Calibri" w:hAnsi="Arial" w:cs="Arial"/>
          <w:bCs/>
          <w:lang w:eastAsia="en-US"/>
        </w:rPr>
        <w:t>operate</w:t>
      </w:r>
      <w:r w:rsidRPr="008D51E9">
        <w:rPr>
          <w:rFonts w:ascii="Arial" w:eastAsia="Calibri" w:hAnsi="Arial" w:cs="Arial"/>
          <w:lang w:eastAsia="en-US"/>
        </w:rPr>
        <w:t xml:space="preserve">. </w:t>
      </w:r>
      <w:r w:rsidR="008841CA">
        <w:rPr>
          <w:rFonts w:ascii="Arial" w:eastAsia="Calibri" w:hAnsi="Arial" w:cs="Arial"/>
          <w:lang w:eastAsia="en-US"/>
        </w:rPr>
        <w:t>Otherwise;</w:t>
      </w:r>
    </w:p>
    <w:p w14:paraId="6B32B504" w14:textId="0D760B71" w:rsidR="00DC0306" w:rsidRPr="00DC0306" w:rsidRDefault="00DC0306" w:rsidP="006F2D02">
      <w:pPr>
        <w:numPr>
          <w:ilvl w:val="1"/>
          <w:numId w:val="36"/>
        </w:numPr>
        <w:autoSpaceDE w:val="0"/>
        <w:autoSpaceDN w:val="0"/>
        <w:spacing w:before="60"/>
        <w:ind w:left="1685"/>
        <w:rPr>
          <w:rFonts w:ascii="Arial" w:eastAsia="Calibri" w:hAnsi="Arial" w:cs="Arial"/>
          <w:lang w:eastAsia="en-US"/>
        </w:rPr>
      </w:pPr>
      <w:r>
        <w:rPr>
          <w:rFonts w:ascii="Arial" w:eastAsia="Calibri" w:hAnsi="Arial" w:cs="Arial"/>
          <w:b/>
          <w:bCs/>
          <w:lang w:eastAsia="en-US"/>
        </w:rPr>
        <w:t>$20</w:t>
      </w:r>
      <w:r w:rsidR="003A3E64">
        <w:rPr>
          <w:rFonts w:ascii="Arial" w:eastAsia="Calibri" w:hAnsi="Arial" w:cs="Arial"/>
          <w:b/>
          <w:bCs/>
          <w:lang w:eastAsia="en-US"/>
        </w:rPr>
        <w:t xml:space="preserve"> billion</w:t>
      </w:r>
      <w:r>
        <w:rPr>
          <w:rFonts w:ascii="Arial" w:eastAsia="Calibri" w:hAnsi="Arial" w:cs="Arial"/>
          <w:bCs/>
          <w:lang w:eastAsia="en-US"/>
        </w:rPr>
        <w:t xml:space="preserve"> </w:t>
      </w:r>
      <w:r w:rsidR="00165638">
        <w:rPr>
          <w:rFonts w:ascii="Arial" w:eastAsia="Calibri" w:hAnsi="Arial" w:cs="Arial"/>
          <w:bCs/>
          <w:lang w:eastAsia="en-US"/>
        </w:rPr>
        <w:t xml:space="preserve">is </w:t>
      </w:r>
      <w:r>
        <w:rPr>
          <w:rFonts w:ascii="Arial" w:eastAsia="Calibri" w:hAnsi="Arial" w:cs="Arial"/>
          <w:bCs/>
          <w:lang w:eastAsia="en-US"/>
        </w:rPr>
        <w:t xml:space="preserve">available </w:t>
      </w:r>
      <w:r w:rsidR="00165638">
        <w:rPr>
          <w:rFonts w:ascii="Arial" w:eastAsia="Calibri" w:hAnsi="Arial" w:cs="Arial"/>
          <w:bCs/>
          <w:lang w:eastAsia="en-US"/>
        </w:rPr>
        <w:t>for</w:t>
      </w:r>
      <w:r>
        <w:rPr>
          <w:rFonts w:ascii="Arial" w:eastAsia="Calibri" w:hAnsi="Arial" w:cs="Arial"/>
          <w:bCs/>
          <w:lang w:eastAsia="en-US"/>
        </w:rPr>
        <w:t xml:space="preserve"> </w:t>
      </w:r>
      <w:r w:rsidR="00631F37">
        <w:rPr>
          <w:rFonts w:ascii="Arial" w:eastAsia="Calibri" w:hAnsi="Arial" w:cs="Arial"/>
          <w:bCs/>
          <w:lang w:eastAsia="en-US"/>
        </w:rPr>
        <w:t xml:space="preserve">the </w:t>
      </w:r>
      <w:r>
        <w:rPr>
          <w:rFonts w:ascii="Arial" w:eastAsia="Calibri" w:hAnsi="Arial" w:cs="Arial"/>
          <w:bCs/>
          <w:lang w:eastAsia="en-US"/>
        </w:rPr>
        <w:t xml:space="preserve">SBA to award in an equitable manner to </w:t>
      </w:r>
      <w:r w:rsidR="00EB73EE">
        <w:rPr>
          <w:rFonts w:ascii="Arial" w:eastAsia="Calibri" w:hAnsi="Arial" w:cs="Arial"/>
          <w:bCs/>
          <w:lang w:eastAsia="en-US"/>
        </w:rPr>
        <w:t>businesses</w:t>
      </w:r>
      <w:r>
        <w:rPr>
          <w:rFonts w:ascii="Arial" w:eastAsia="Calibri" w:hAnsi="Arial" w:cs="Arial"/>
          <w:bCs/>
          <w:lang w:eastAsia="en-US"/>
        </w:rPr>
        <w:t xml:space="preserve"> of different sizes based on annual gross receipts.</w:t>
      </w:r>
    </w:p>
    <w:p w14:paraId="6E94AF21" w14:textId="658EAF15" w:rsidR="000B5058" w:rsidRPr="006F2D02" w:rsidRDefault="00DC0306" w:rsidP="006F2D02">
      <w:pPr>
        <w:numPr>
          <w:ilvl w:val="1"/>
          <w:numId w:val="36"/>
        </w:numPr>
        <w:autoSpaceDE w:val="0"/>
        <w:autoSpaceDN w:val="0"/>
        <w:spacing w:before="60"/>
        <w:ind w:left="1685"/>
        <w:rPr>
          <w:rFonts w:ascii="Arial" w:eastAsia="Calibri" w:hAnsi="Arial" w:cs="Arial"/>
          <w:lang w:eastAsia="en-US"/>
        </w:rPr>
      </w:pPr>
      <w:r>
        <w:rPr>
          <w:rFonts w:ascii="Arial" w:eastAsia="Calibri" w:hAnsi="Arial" w:cs="Arial"/>
          <w:b/>
          <w:bCs/>
          <w:lang w:eastAsia="en-US"/>
        </w:rPr>
        <w:t>$</w:t>
      </w:r>
      <w:r w:rsidR="003A3E64">
        <w:rPr>
          <w:rFonts w:ascii="Arial" w:eastAsia="Calibri" w:hAnsi="Arial" w:cs="Arial"/>
          <w:b/>
          <w:bCs/>
          <w:lang w:eastAsia="en-US"/>
        </w:rPr>
        <w:t>5 billion</w:t>
      </w:r>
      <w:r>
        <w:rPr>
          <w:rFonts w:ascii="Arial" w:eastAsia="Calibri" w:hAnsi="Arial" w:cs="Arial"/>
          <w:bCs/>
          <w:lang w:eastAsia="en-US"/>
        </w:rPr>
        <w:t xml:space="preserve"> </w:t>
      </w:r>
      <w:r w:rsidR="00165638">
        <w:rPr>
          <w:rFonts w:ascii="Arial" w:eastAsia="Calibri" w:hAnsi="Arial" w:cs="Arial"/>
          <w:bCs/>
          <w:lang w:eastAsia="en-US"/>
        </w:rPr>
        <w:t xml:space="preserve">is </w:t>
      </w:r>
      <w:r>
        <w:rPr>
          <w:rFonts w:ascii="Arial" w:eastAsia="Calibri" w:hAnsi="Arial" w:cs="Arial"/>
          <w:bCs/>
          <w:lang w:eastAsia="en-US"/>
        </w:rPr>
        <w:t xml:space="preserve">available to </w:t>
      </w:r>
      <w:r w:rsidR="00EB73EE">
        <w:rPr>
          <w:rFonts w:ascii="Arial" w:eastAsia="Calibri" w:hAnsi="Arial" w:cs="Arial"/>
          <w:bCs/>
          <w:lang w:eastAsia="en-US"/>
        </w:rPr>
        <w:t>businesses</w:t>
      </w:r>
      <w:r w:rsidR="00F973F0">
        <w:rPr>
          <w:rFonts w:ascii="Arial" w:eastAsia="Calibri" w:hAnsi="Arial" w:cs="Arial"/>
          <w:bCs/>
          <w:lang w:eastAsia="en-US"/>
        </w:rPr>
        <w:t xml:space="preserve"> with gross receipts </w:t>
      </w:r>
      <w:r w:rsidR="003A3E64">
        <w:rPr>
          <w:rFonts w:ascii="Arial" w:eastAsia="Calibri" w:hAnsi="Arial" w:cs="Arial"/>
          <w:bCs/>
          <w:lang w:eastAsia="en-US"/>
        </w:rPr>
        <w:t xml:space="preserve">of </w:t>
      </w:r>
      <w:r w:rsidR="00F973F0" w:rsidRPr="000B5058">
        <w:rPr>
          <w:rFonts w:ascii="Arial" w:eastAsia="Calibri" w:hAnsi="Arial" w:cs="Arial"/>
          <w:bCs/>
          <w:lang w:eastAsia="en-US"/>
        </w:rPr>
        <w:t>$500,000</w:t>
      </w:r>
      <w:r w:rsidR="00F973F0">
        <w:rPr>
          <w:rFonts w:ascii="Arial" w:eastAsia="Calibri" w:hAnsi="Arial" w:cs="Arial"/>
          <w:bCs/>
          <w:lang w:eastAsia="en-US"/>
        </w:rPr>
        <w:t xml:space="preserve"> </w:t>
      </w:r>
      <w:r w:rsidR="003A3E64">
        <w:rPr>
          <w:rFonts w:ascii="Arial" w:eastAsia="Calibri" w:hAnsi="Arial" w:cs="Arial"/>
          <w:bCs/>
          <w:lang w:eastAsia="en-US"/>
        </w:rPr>
        <w:t xml:space="preserve">or less </w:t>
      </w:r>
      <w:r w:rsidR="00F973F0">
        <w:rPr>
          <w:rFonts w:ascii="Arial" w:eastAsia="Calibri" w:hAnsi="Arial" w:cs="Arial"/>
          <w:bCs/>
          <w:lang w:eastAsia="en-US"/>
        </w:rPr>
        <w:t>during 2019.</w:t>
      </w:r>
    </w:p>
    <w:p w14:paraId="44249779" w14:textId="2CA75050" w:rsidR="006F2D02" w:rsidRPr="000B5058" w:rsidRDefault="004C0905" w:rsidP="006F2D02">
      <w:pPr>
        <w:numPr>
          <w:ilvl w:val="1"/>
          <w:numId w:val="36"/>
        </w:numPr>
        <w:autoSpaceDE w:val="0"/>
        <w:autoSpaceDN w:val="0"/>
        <w:spacing w:before="60"/>
        <w:rPr>
          <w:rFonts w:ascii="Arial" w:eastAsia="Calibri" w:hAnsi="Arial" w:cs="Arial"/>
          <w:lang w:eastAsia="en-US"/>
        </w:rPr>
      </w:pPr>
      <w:r>
        <w:rPr>
          <w:rFonts w:ascii="Arial" w:eastAsia="Calibri" w:hAnsi="Arial" w:cs="Arial"/>
          <w:lang w:eastAsia="en-US"/>
        </w:rPr>
        <w:t>Maximum: T</w:t>
      </w:r>
      <w:r w:rsidR="006F2D02">
        <w:rPr>
          <w:rFonts w:ascii="Arial" w:eastAsia="Calibri" w:hAnsi="Arial" w:cs="Arial"/>
          <w:lang w:eastAsia="en-US"/>
        </w:rPr>
        <w:t xml:space="preserve">he </w:t>
      </w:r>
      <w:r w:rsidR="00926230">
        <w:rPr>
          <w:rFonts w:ascii="Arial" w:eastAsia="Calibri" w:hAnsi="Arial" w:cs="Arial"/>
          <w:lang w:eastAsia="en-US"/>
        </w:rPr>
        <w:t>total grant amount for</w:t>
      </w:r>
      <w:r w:rsidR="006F2D02">
        <w:rPr>
          <w:rFonts w:ascii="Arial" w:eastAsia="Calibri" w:hAnsi="Arial" w:cs="Arial"/>
          <w:lang w:eastAsia="en-US"/>
        </w:rPr>
        <w:t xml:space="preserve"> an eligible </w:t>
      </w:r>
      <w:r w:rsidR="00926230">
        <w:rPr>
          <w:rFonts w:ascii="Arial" w:eastAsia="Calibri" w:hAnsi="Arial" w:cs="Arial"/>
          <w:lang w:eastAsia="en-US"/>
        </w:rPr>
        <w:t>business</w:t>
      </w:r>
      <w:r w:rsidR="006F2D02">
        <w:rPr>
          <w:rFonts w:ascii="Arial" w:eastAsia="Calibri" w:hAnsi="Arial" w:cs="Arial"/>
          <w:lang w:eastAsia="en-US"/>
        </w:rPr>
        <w:t xml:space="preserve"> and any affiliated businesses is capped at $10</w:t>
      </w:r>
      <w:r w:rsidR="003A3E64">
        <w:rPr>
          <w:rFonts w:ascii="Arial" w:eastAsia="Calibri" w:hAnsi="Arial" w:cs="Arial"/>
          <w:lang w:eastAsia="en-US"/>
        </w:rPr>
        <w:t xml:space="preserve"> million</w:t>
      </w:r>
      <w:r w:rsidR="006F2D02">
        <w:rPr>
          <w:rFonts w:ascii="Arial" w:eastAsia="Calibri" w:hAnsi="Arial" w:cs="Arial"/>
          <w:lang w:eastAsia="en-US"/>
        </w:rPr>
        <w:t xml:space="preserve"> and is limited to $5</w:t>
      </w:r>
      <w:r w:rsidR="003A3E64">
        <w:rPr>
          <w:rFonts w:ascii="Arial" w:eastAsia="Calibri" w:hAnsi="Arial" w:cs="Arial"/>
          <w:lang w:eastAsia="en-US"/>
        </w:rPr>
        <w:t xml:space="preserve"> million</w:t>
      </w:r>
      <w:r w:rsidR="006F2D02">
        <w:rPr>
          <w:rFonts w:ascii="Arial" w:eastAsia="Calibri" w:hAnsi="Arial" w:cs="Arial"/>
          <w:lang w:eastAsia="en-US"/>
        </w:rPr>
        <w:t xml:space="preserve"> per physical location of the </w:t>
      </w:r>
      <w:r w:rsidR="00926230">
        <w:rPr>
          <w:rFonts w:ascii="Arial" w:eastAsia="Calibri" w:hAnsi="Arial" w:cs="Arial"/>
          <w:lang w:eastAsia="en-US"/>
        </w:rPr>
        <w:t>business</w:t>
      </w:r>
      <w:r w:rsidR="006F2D02">
        <w:rPr>
          <w:rFonts w:ascii="Arial" w:eastAsia="Calibri" w:hAnsi="Arial" w:cs="Arial"/>
          <w:lang w:eastAsia="en-US"/>
        </w:rPr>
        <w:t>.</w:t>
      </w:r>
    </w:p>
    <w:p w14:paraId="54102F9E" w14:textId="51046E9F" w:rsidR="008D51E9" w:rsidRPr="001C6FBD" w:rsidRDefault="001C6FBD" w:rsidP="008D51E9">
      <w:pPr>
        <w:pStyle w:val="ListParagraph"/>
        <w:numPr>
          <w:ilvl w:val="0"/>
          <w:numId w:val="36"/>
        </w:numPr>
        <w:autoSpaceDE w:val="0"/>
        <w:autoSpaceDN w:val="0"/>
        <w:spacing w:before="120"/>
        <w:rPr>
          <w:rFonts w:ascii="Arial" w:eastAsia="Calibri" w:hAnsi="Arial" w:cs="Arial"/>
          <w:lang w:eastAsia="en-US"/>
        </w:rPr>
      </w:pPr>
      <w:r w:rsidRPr="001C6FBD">
        <w:rPr>
          <w:rFonts w:ascii="Arial" w:eastAsia="Calibri" w:hAnsi="Arial" w:cs="Arial"/>
          <w:b/>
          <w:bCs/>
          <w:lang w:eastAsia="en-US"/>
        </w:rPr>
        <w:t xml:space="preserve">Prioritization: </w:t>
      </w:r>
      <w:r w:rsidRPr="001C6FBD">
        <w:rPr>
          <w:rFonts w:ascii="Arial" w:eastAsia="Calibri" w:hAnsi="Arial" w:cs="Arial"/>
          <w:bCs/>
          <w:lang w:eastAsia="en-US"/>
        </w:rPr>
        <w:t xml:space="preserve">For </w:t>
      </w:r>
      <w:r w:rsidR="00F340C4">
        <w:rPr>
          <w:rFonts w:ascii="Arial" w:eastAsia="Calibri" w:hAnsi="Arial" w:cs="Arial"/>
          <w:bCs/>
          <w:lang w:eastAsia="en-US"/>
        </w:rPr>
        <w:t xml:space="preserve">an </w:t>
      </w:r>
      <w:r w:rsidRPr="001C6FBD">
        <w:rPr>
          <w:rFonts w:ascii="Arial" w:eastAsia="Calibri" w:hAnsi="Arial" w:cs="Arial"/>
          <w:bCs/>
          <w:lang w:eastAsia="en-US"/>
        </w:rPr>
        <w:t xml:space="preserve">initial </w:t>
      </w:r>
      <w:r w:rsidR="00165638">
        <w:rPr>
          <w:rFonts w:ascii="Arial" w:eastAsia="Calibri" w:hAnsi="Arial" w:cs="Arial"/>
          <w:bCs/>
          <w:lang w:eastAsia="en-US"/>
        </w:rPr>
        <w:t>21-day</w:t>
      </w:r>
      <w:r w:rsidRPr="001C6FBD">
        <w:rPr>
          <w:rFonts w:ascii="Arial" w:eastAsia="Calibri" w:hAnsi="Arial" w:cs="Arial"/>
          <w:bCs/>
          <w:lang w:eastAsia="en-US"/>
        </w:rPr>
        <w:t xml:space="preserve"> period, the SBA</w:t>
      </w:r>
      <w:r w:rsidRPr="001C6FBD">
        <w:rPr>
          <w:rFonts w:ascii="Arial" w:eastAsia="Calibri" w:hAnsi="Arial" w:cs="Arial"/>
          <w:b/>
          <w:bCs/>
          <w:lang w:eastAsia="en-US"/>
        </w:rPr>
        <w:t xml:space="preserve"> </w:t>
      </w:r>
      <w:r w:rsidRPr="001C6FBD">
        <w:rPr>
          <w:rFonts w:ascii="Arial" w:eastAsia="Calibri" w:hAnsi="Arial" w:cs="Arial"/>
          <w:color w:val="000000"/>
          <w:lang w:eastAsia="en-US"/>
        </w:rPr>
        <w:t xml:space="preserve">will prioritize awarding grants for </w:t>
      </w:r>
      <w:r w:rsidRPr="001C6FBD">
        <w:rPr>
          <w:rFonts w:ascii="Arial" w:eastAsia="Calibri" w:hAnsi="Arial" w:cs="Arial"/>
          <w:lang w:eastAsia="en-US"/>
        </w:rPr>
        <w:t xml:space="preserve">small business concerns owned and controlled by women, veterans, or socially and economically disadvantaged small business concerns. </w:t>
      </w:r>
    </w:p>
    <w:p w14:paraId="2D475707" w14:textId="104A4EEF" w:rsidR="000B2BE8" w:rsidRDefault="00254159" w:rsidP="00677D7A">
      <w:pPr>
        <w:numPr>
          <w:ilvl w:val="0"/>
          <w:numId w:val="36"/>
        </w:numPr>
        <w:autoSpaceDE w:val="0"/>
        <w:autoSpaceDN w:val="0"/>
        <w:spacing w:before="120"/>
        <w:rPr>
          <w:rFonts w:ascii="Arial" w:eastAsia="Calibri" w:hAnsi="Arial" w:cs="Arial"/>
          <w:lang w:eastAsia="en-US"/>
        </w:rPr>
      </w:pPr>
      <w:r w:rsidRPr="00677D7A">
        <w:rPr>
          <w:rFonts w:ascii="Arial" w:eastAsia="Calibri" w:hAnsi="Arial" w:cs="Arial"/>
          <w:b/>
          <w:bCs/>
          <w:lang w:eastAsia="en-US"/>
        </w:rPr>
        <w:t xml:space="preserve">Covered </w:t>
      </w:r>
      <w:r w:rsidR="00225F99">
        <w:rPr>
          <w:rFonts w:ascii="Arial" w:eastAsia="Calibri" w:hAnsi="Arial" w:cs="Arial"/>
          <w:b/>
          <w:bCs/>
          <w:lang w:eastAsia="en-US"/>
        </w:rPr>
        <w:t>P</w:t>
      </w:r>
      <w:r w:rsidRPr="00677D7A">
        <w:rPr>
          <w:rFonts w:ascii="Arial" w:eastAsia="Calibri" w:hAnsi="Arial" w:cs="Arial"/>
          <w:b/>
          <w:bCs/>
          <w:lang w:eastAsia="en-US"/>
        </w:rPr>
        <w:t>eriod:</w:t>
      </w:r>
      <w:r w:rsidR="00B131A7" w:rsidRPr="00677D7A">
        <w:rPr>
          <w:rFonts w:ascii="Arial" w:eastAsia="Calibri" w:hAnsi="Arial" w:cs="Arial"/>
          <w:lang w:eastAsia="en-US"/>
        </w:rPr>
        <w:t> </w:t>
      </w:r>
      <w:r w:rsidR="000D223E">
        <w:rPr>
          <w:rFonts w:ascii="Arial" w:eastAsia="Calibri" w:hAnsi="Arial" w:cs="Arial"/>
          <w:lang w:eastAsia="en-US"/>
        </w:rPr>
        <w:t xml:space="preserve">Eligible expenses </w:t>
      </w:r>
      <w:r w:rsidR="0087532A">
        <w:rPr>
          <w:rFonts w:ascii="Arial" w:eastAsia="Calibri" w:hAnsi="Arial" w:cs="Arial"/>
          <w:lang w:eastAsia="en-US"/>
        </w:rPr>
        <w:t xml:space="preserve">are those </w:t>
      </w:r>
      <w:r w:rsidR="000D223E">
        <w:rPr>
          <w:rFonts w:ascii="Arial" w:eastAsia="Calibri" w:hAnsi="Arial" w:cs="Arial"/>
          <w:lang w:eastAsia="en-US"/>
        </w:rPr>
        <w:t xml:space="preserve">incurred </w:t>
      </w:r>
      <w:r w:rsidR="00677D7A" w:rsidRPr="00677D7A">
        <w:rPr>
          <w:rFonts w:ascii="Arial" w:eastAsia="Calibri" w:hAnsi="Arial" w:cs="Arial"/>
          <w:lang w:eastAsia="en-US"/>
        </w:rPr>
        <w:t>from</w:t>
      </w:r>
      <w:r w:rsidR="00B131A7" w:rsidRPr="00677D7A">
        <w:rPr>
          <w:rFonts w:ascii="Arial" w:eastAsia="Calibri" w:hAnsi="Arial" w:cs="Arial"/>
          <w:lang w:eastAsia="en-US"/>
        </w:rPr>
        <w:t xml:space="preserve"> February 15, 202</w:t>
      </w:r>
      <w:r w:rsidR="00677D7A" w:rsidRPr="00677D7A">
        <w:rPr>
          <w:rFonts w:ascii="Arial" w:eastAsia="Calibri" w:hAnsi="Arial" w:cs="Arial"/>
          <w:lang w:eastAsia="en-US"/>
        </w:rPr>
        <w:t>0</w:t>
      </w:r>
      <w:r w:rsidR="00B131A7" w:rsidRPr="00677D7A">
        <w:rPr>
          <w:rFonts w:ascii="Arial" w:eastAsia="Calibri" w:hAnsi="Arial" w:cs="Arial"/>
          <w:lang w:eastAsia="en-US"/>
        </w:rPr>
        <w:t xml:space="preserve"> </w:t>
      </w:r>
      <w:r w:rsidR="00677D7A" w:rsidRPr="00677D7A">
        <w:rPr>
          <w:rFonts w:ascii="Arial" w:eastAsia="Calibri" w:hAnsi="Arial" w:cs="Arial"/>
          <w:lang w:eastAsia="en-US"/>
        </w:rPr>
        <w:t xml:space="preserve">to </w:t>
      </w:r>
      <w:r w:rsidR="00677D7A" w:rsidRPr="000D223E">
        <w:rPr>
          <w:rFonts w:ascii="Arial" w:eastAsia="Calibri" w:hAnsi="Arial" w:cs="Arial"/>
          <w:u w:val="single"/>
          <w:lang w:eastAsia="en-US"/>
        </w:rPr>
        <w:t>December 31, 2021</w:t>
      </w:r>
      <w:r w:rsidR="00677D7A" w:rsidRPr="00677D7A">
        <w:rPr>
          <w:rFonts w:ascii="Arial" w:eastAsia="Calibri" w:hAnsi="Arial" w:cs="Arial"/>
          <w:lang w:eastAsia="en-US"/>
        </w:rPr>
        <w:t xml:space="preserve">, or a date determined by the SBA. If all grant </w:t>
      </w:r>
      <w:r w:rsidR="000B2BE8" w:rsidRPr="00677D7A">
        <w:rPr>
          <w:rFonts w:ascii="Arial" w:eastAsia="Calibri" w:hAnsi="Arial" w:cs="Arial"/>
          <w:lang w:eastAsia="en-US"/>
        </w:rPr>
        <w:t>funds are not spent</w:t>
      </w:r>
      <w:r w:rsidR="00677D7A" w:rsidRPr="00677D7A">
        <w:rPr>
          <w:rFonts w:ascii="Arial" w:eastAsia="Calibri" w:hAnsi="Arial" w:cs="Arial"/>
          <w:lang w:eastAsia="en-US"/>
        </w:rPr>
        <w:t xml:space="preserve"> by the </w:t>
      </w:r>
      <w:r w:rsidR="00A41E91">
        <w:rPr>
          <w:rFonts w:ascii="Arial" w:eastAsia="Calibri" w:hAnsi="Arial" w:cs="Arial"/>
          <w:lang w:eastAsia="en-US"/>
        </w:rPr>
        <w:t>business</w:t>
      </w:r>
      <w:r w:rsidR="001237E7">
        <w:rPr>
          <w:rFonts w:ascii="Arial" w:eastAsia="Calibri" w:hAnsi="Arial" w:cs="Arial"/>
          <w:lang w:eastAsia="en-US"/>
        </w:rPr>
        <w:t>,</w:t>
      </w:r>
      <w:r w:rsidR="00677D7A" w:rsidRPr="00677D7A">
        <w:rPr>
          <w:rFonts w:ascii="Arial" w:eastAsia="Calibri" w:hAnsi="Arial" w:cs="Arial"/>
          <w:lang w:eastAsia="en-US"/>
        </w:rPr>
        <w:t xml:space="preserve"> or the </w:t>
      </w:r>
      <w:r w:rsidR="00A41E91">
        <w:rPr>
          <w:rFonts w:ascii="Arial" w:eastAsia="Calibri" w:hAnsi="Arial" w:cs="Arial"/>
          <w:lang w:eastAsia="en-US"/>
        </w:rPr>
        <w:t>business</w:t>
      </w:r>
      <w:r w:rsidR="00677D7A" w:rsidRPr="00677D7A">
        <w:rPr>
          <w:rFonts w:ascii="Arial" w:eastAsia="Calibri" w:hAnsi="Arial" w:cs="Arial"/>
          <w:lang w:eastAsia="en-US"/>
        </w:rPr>
        <w:t xml:space="preserve"> permanently </w:t>
      </w:r>
      <w:r w:rsidR="00A41E91">
        <w:rPr>
          <w:rFonts w:ascii="Arial" w:eastAsia="Calibri" w:hAnsi="Arial" w:cs="Arial"/>
          <w:lang w:eastAsia="en-US"/>
        </w:rPr>
        <w:t>closes</w:t>
      </w:r>
      <w:r w:rsidR="00677D7A" w:rsidRPr="00677D7A">
        <w:rPr>
          <w:rFonts w:ascii="Arial" w:eastAsia="Calibri" w:hAnsi="Arial" w:cs="Arial"/>
          <w:lang w:eastAsia="en-US"/>
        </w:rPr>
        <w:t xml:space="preserve"> before the end of the covered period, the </w:t>
      </w:r>
      <w:r w:rsidR="00A41E91">
        <w:rPr>
          <w:rFonts w:ascii="Arial" w:eastAsia="Calibri" w:hAnsi="Arial" w:cs="Arial"/>
          <w:lang w:eastAsia="en-US"/>
        </w:rPr>
        <w:t>business</w:t>
      </w:r>
      <w:r w:rsidR="00677D7A" w:rsidRPr="00677D7A">
        <w:rPr>
          <w:rFonts w:ascii="Arial" w:eastAsia="Calibri" w:hAnsi="Arial" w:cs="Arial"/>
          <w:lang w:eastAsia="en-US"/>
        </w:rPr>
        <w:t xml:space="preserve"> </w:t>
      </w:r>
      <w:r w:rsidR="00677D7A">
        <w:rPr>
          <w:rFonts w:ascii="Arial" w:eastAsia="Calibri" w:hAnsi="Arial" w:cs="Arial"/>
          <w:lang w:eastAsia="en-US"/>
        </w:rPr>
        <w:t>must</w:t>
      </w:r>
      <w:r w:rsidR="00677D7A" w:rsidRPr="00677D7A">
        <w:rPr>
          <w:rFonts w:ascii="Arial" w:eastAsia="Calibri" w:hAnsi="Arial" w:cs="Arial"/>
          <w:lang w:eastAsia="en-US"/>
        </w:rPr>
        <w:t xml:space="preserve"> return </w:t>
      </w:r>
      <w:r w:rsidR="00677D7A">
        <w:rPr>
          <w:rFonts w:ascii="Arial" w:eastAsia="Calibri" w:hAnsi="Arial" w:cs="Arial"/>
          <w:lang w:eastAsia="en-US"/>
        </w:rPr>
        <w:t xml:space="preserve">unused funds </w:t>
      </w:r>
      <w:r w:rsidR="00677D7A" w:rsidRPr="00677D7A">
        <w:rPr>
          <w:rFonts w:ascii="Arial" w:eastAsia="Calibri" w:hAnsi="Arial" w:cs="Arial"/>
          <w:lang w:eastAsia="en-US"/>
        </w:rPr>
        <w:t xml:space="preserve">to the </w:t>
      </w:r>
      <w:r w:rsidR="003A3E64">
        <w:rPr>
          <w:rFonts w:ascii="Arial" w:eastAsia="Calibri" w:hAnsi="Arial" w:cs="Arial"/>
          <w:lang w:eastAsia="en-US"/>
        </w:rPr>
        <w:t>Treasury.</w:t>
      </w:r>
    </w:p>
    <w:p w14:paraId="45070AD1" w14:textId="77777777" w:rsidR="00087D55" w:rsidRDefault="00087D55" w:rsidP="00087D55">
      <w:pPr>
        <w:autoSpaceDE w:val="0"/>
        <w:autoSpaceDN w:val="0"/>
        <w:spacing w:before="120"/>
        <w:rPr>
          <w:rFonts w:ascii="Arial" w:eastAsia="Calibri" w:hAnsi="Arial" w:cs="Arial"/>
          <w:lang w:eastAsia="en-US"/>
        </w:rPr>
      </w:pPr>
    </w:p>
    <w:p w14:paraId="2BAF68B3" w14:textId="39BDF5B8" w:rsidR="0055324A" w:rsidRPr="0055324A" w:rsidRDefault="0055324A" w:rsidP="00BA7E6A">
      <w:pPr>
        <w:numPr>
          <w:ilvl w:val="0"/>
          <w:numId w:val="36"/>
        </w:numPr>
        <w:autoSpaceDE w:val="0"/>
        <w:autoSpaceDN w:val="0"/>
        <w:spacing w:before="120"/>
        <w:rPr>
          <w:rFonts w:ascii="Arial" w:eastAsia="Calibri" w:hAnsi="Arial" w:cs="Arial"/>
          <w:lang w:eastAsia="en-US"/>
        </w:rPr>
      </w:pPr>
      <w:r w:rsidRPr="0024331A">
        <w:rPr>
          <w:rFonts w:ascii="Arial" w:eastAsia="Calibri" w:hAnsi="Arial" w:cs="Arial"/>
          <w:b/>
          <w:bCs/>
          <w:lang w:eastAsia="en-US"/>
        </w:rPr>
        <w:lastRenderedPageBreak/>
        <w:t xml:space="preserve">Eligible </w:t>
      </w:r>
      <w:r w:rsidRPr="0024331A">
        <w:rPr>
          <w:rFonts w:ascii="Arial" w:eastAsia="Calibri" w:hAnsi="Arial" w:cs="Arial"/>
          <w:b/>
          <w:lang w:eastAsia="en-US"/>
        </w:rPr>
        <w:t>Expenses</w:t>
      </w:r>
      <w:r w:rsidRPr="0024331A">
        <w:rPr>
          <w:rFonts w:ascii="Arial" w:eastAsia="Calibri" w:hAnsi="Arial" w:cs="Arial"/>
          <w:lang w:eastAsia="en-US"/>
        </w:rPr>
        <w:t xml:space="preserve">: Funds </w:t>
      </w:r>
      <w:r w:rsidR="00145EF4">
        <w:rPr>
          <w:rFonts w:ascii="Arial" w:eastAsia="Calibri" w:hAnsi="Arial" w:cs="Arial"/>
          <w:lang w:eastAsia="en-US"/>
        </w:rPr>
        <w:t xml:space="preserve">must be spent </w:t>
      </w:r>
      <w:r w:rsidR="001237E7">
        <w:rPr>
          <w:rFonts w:ascii="Arial" w:eastAsia="Calibri" w:hAnsi="Arial" w:cs="Arial"/>
          <w:lang w:eastAsia="en-US"/>
        </w:rPr>
        <w:t>on</w:t>
      </w:r>
      <w:r w:rsidRPr="0024331A">
        <w:rPr>
          <w:rFonts w:ascii="Arial" w:eastAsia="Calibri" w:hAnsi="Arial" w:cs="Arial"/>
          <w:lang w:eastAsia="en-US"/>
        </w:rPr>
        <w:t xml:space="preserve"> payroll; principal or interest on mortgage obligations; rent; utilities; maintenance</w:t>
      </w:r>
      <w:r w:rsidR="00BA7E6A" w:rsidRPr="00BA7E6A">
        <w:rPr>
          <w:rFonts w:ascii="Arial" w:eastAsia="Calibri" w:hAnsi="Arial" w:cs="Arial"/>
          <w:lang w:eastAsia="en-US"/>
        </w:rPr>
        <w:t xml:space="preserve"> </w:t>
      </w:r>
      <w:r w:rsidR="00BA7E6A">
        <w:rPr>
          <w:rFonts w:ascii="Arial" w:eastAsia="Calibri" w:hAnsi="Arial" w:cs="Arial"/>
          <w:lang w:eastAsia="en-US"/>
        </w:rPr>
        <w:t xml:space="preserve">including </w:t>
      </w:r>
      <w:r w:rsidR="00BA7E6A" w:rsidRPr="00BA7E6A">
        <w:rPr>
          <w:rFonts w:ascii="Arial" w:eastAsia="Calibri" w:hAnsi="Arial" w:cs="Arial"/>
          <w:lang w:eastAsia="en-US"/>
        </w:rPr>
        <w:t>co</w:t>
      </w:r>
      <w:r w:rsidR="00BA7E6A">
        <w:rPr>
          <w:rFonts w:ascii="Arial" w:eastAsia="Calibri" w:hAnsi="Arial" w:cs="Arial"/>
          <w:lang w:eastAsia="en-US"/>
        </w:rPr>
        <w:t>nstruction to accommodate out</w:t>
      </w:r>
      <w:r w:rsidR="00BA7E6A" w:rsidRPr="00BA7E6A">
        <w:rPr>
          <w:rFonts w:ascii="Arial" w:eastAsia="Calibri" w:hAnsi="Arial" w:cs="Arial"/>
          <w:lang w:eastAsia="en-US"/>
        </w:rPr>
        <w:t>door seating</w:t>
      </w:r>
      <w:r w:rsidRPr="0024331A">
        <w:rPr>
          <w:rFonts w:ascii="Arial" w:eastAsia="Calibri" w:hAnsi="Arial" w:cs="Arial"/>
          <w:lang w:eastAsia="en-US"/>
        </w:rPr>
        <w:t xml:space="preserve">; supplies </w:t>
      </w:r>
      <w:r>
        <w:rPr>
          <w:rFonts w:ascii="Arial" w:eastAsia="Calibri" w:hAnsi="Arial" w:cs="Arial"/>
          <w:lang w:eastAsia="en-US"/>
        </w:rPr>
        <w:t>such as protective equipment and cleaning materials</w:t>
      </w:r>
      <w:r w:rsidRPr="0024331A">
        <w:rPr>
          <w:rFonts w:ascii="Arial" w:eastAsia="Calibri" w:hAnsi="Arial" w:cs="Arial"/>
          <w:lang w:eastAsia="en-US"/>
        </w:rPr>
        <w:t xml:space="preserve">; normal food and beverage inventory; </w:t>
      </w:r>
      <w:r>
        <w:rPr>
          <w:rFonts w:ascii="Arial" w:eastAsia="Calibri" w:hAnsi="Arial" w:cs="Arial"/>
          <w:lang w:eastAsia="en-US"/>
        </w:rPr>
        <w:t>certain covered supplier costs</w:t>
      </w:r>
      <w:r w:rsidRPr="0024331A">
        <w:rPr>
          <w:rFonts w:ascii="Arial" w:eastAsia="Calibri" w:hAnsi="Arial" w:cs="Arial"/>
          <w:lang w:eastAsia="en-US"/>
        </w:rPr>
        <w:t xml:space="preserve">; operational expenses; paid sick leave; and any other expenses that </w:t>
      </w:r>
      <w:r w:rsidR="00A3660C">
        <w:rPr>
          <w:rFonts w:ascii="Arial" w:eastAsia="Calibri" w:hAnsi="Arial" w:cs="Arial"/>
          <w:lang w:eastAsia="en-US"/>
        </w:rPr>
        <w:t xml:space="preserve">the </w:t>
      </w:r>
      <w:r>
        <w:rPr>
          <w:rFonts w:ascii="Arial" w:eastAsia="Calibri" w:hAnsi="Arial" w:cs="Arial"/>
          <w:lang w:eastAsia="en-US"/>
        </w:rPr>
        <w:t>SBA</w:t>
      </w:r>
      <w:r w:rsidRPr="0024331A">
        <w:rPr>
          <w:rFonts w:ascii="Arial" w:eastAsia="Calibri" w:hAnsi="Arial" w:cs="Arial"/>
          <w:lang w:eastAsia="en-US"/>
        </w:rPr>
        <w:t xml:space="preserve"> determines to be essential to maintaining operations.</w:t>
      </w:r>
    </w:p>
    <w:p w14:paraId="6968ECAF" w14:textId="4FB62B2B" w:rsidR="00254159" w:rsidRPr="005C5DB8" w:rsidRDefault="002D4F84" w:rsidP="005C5DB8">
      <w:pPr>
        <w:numPr>
          <w:ilvl w:val="0"/>
          <w:numId w:val="36"/>
        </w:numPr>
        <w:autoSpaceDE w:val="0"/>
        <w:autoSpaceDN w:val="0"/>
        <w:spacing w:before="120"/>
        <w:rPr>
          <w:rFonts w:ascii="Arial" w:eastAsia="Calibri" w:hAnsi="Arial" w:cs="Arial"/>
          <w:lang w:eastAsia="en-US"/>
        </w:rPr>
      </w:pPr>
      <w:r w:rsidRPr="007E57A4">
        <w:rPr>
          <w:rFonts w:ascii="Arial" w:eastAsia="Calibri" w:hAnsi="Arial" w:cs="Arial"/>
          <w:b/>
          <w:bCs/>
          <w:lang w:eastAsia="en-US"/>
        </w:rPr>
        <w:t>Eligible Entity</w:t>
      </w:r>
      <w:r w:rsidR="00254159" w:rsidRPr="007E57A4">
        <w:rPr>
          <w:rFonts w:ascii="Arial" w:eastAsia="Calibri" w:hAnsi="Arial" w:cs="Arial"/>
          <w:b/>
          <w:bCs/>
          <w:lang w:eastAsia="en-US"/>
        </w:rPr>
        <w:t>:</w:t>
      </w:r>
      <w:r w:rsidR="005C5DB8">
        <w:rPr>
          <w:rFonts w:ascii="Arial" w:eastAsia="Calibri" w:hAnsi="Arial" w:cs="Arial"/>
          <w:lang w:eastAsia="en-US"/>
        </w:rPr>
        <w:t xml:space="preserve"> </w:t>
      </w:r>
      <w:r w:rsidRPr="007E57A4">
        <w:rPr>
          <w:rFonts w:ascii="Arial" w:eastAsia="Calibri" w:hAnsi="Arial" w:cs="Arial"/>
          <w:lang w:eastAsia="en-US"/>
        </w:rPr>
        <w:t xml:space="preserve">Own or operate </w:t>
      </w:r>
      <w:r w:rsidR="00254159" w:rsidRPr="007E57A4">
        <w:rPr>
          <w:rFonts w:ascii="Arial" w:eastAsia="Calibri" w:hAnsi="Arial" w:cs="Arial"/>
          <w:lang w:eastAsia="en-US"/>
        </w:rPr>
        <w:t xml:space="preserve">20 or fewer </w:t>
      </w:r>
      <w:r w:rsidRPr="007E57A4">
        <w:rPr>
          <w:rFonts w:ascii="Arial" w:eastAsia="Calibri" w:hAnsi="Arial" w:cs="Arial"/>
          <w:lang w:eastAsia="en-US"/>
        </w:rPr>
        <w:t>establishments (together with any affiliated business)</w:t>
      </w:r>
      <w:r w:rsidR="00254159" w:rsidRPr="007E57A4">
        <w:rPr>
          <w:rFonts w:ascii="Arial" w:eastAsia="Calibri" w:hAnsi="Arial" w:cs="Arial"/>
          <w:lang w:eastAsia="en-US"/>
        </w:rPr>
        <w:t xml:space="preserve">, regardless of </w:t>
      </w:r>
      <w:r w:rsidRPr="007E57A4">
        <w:rPr>
          <w:rFonts w:ascii="Arial" w:eastAsia="Calibri" w:hAnsi="Arial" w:cs="Arial"/>
          <w:lang w:eastAsia="en-US"/>
        </w:rPr>
        <w:t>ownership</w:t>
      </w:r>
      <w:r w:rsidR="005C5DB8">
        <w:rPr>
          <w:rFonts w:ascii="Arial" w:eastAsia="Calibri" w:hAnsi="Arial" w:cs="Arial"/>
          <w:lang w:eastAsia="en-US"/>
        </w:rPr>
        <w:t xml:space="preserve"> type</w:t>
      </w:r>
      <w:r w:rsidRPr="007E57A4">
        <w:rPr>
          <w:rFonts w:ascii="Arial" w:eastAsia="Calibri" w:hAnsi="Arial" w:cs="Arial"/>
          <w:lang w:eastAsia="en-US"/>
        </w:rPr>
        <w:t xml:space="preserve"> of the locations and whether</w:t>
      </w:r>
      <w:r w:rsidR="00344FD4">
        <w:rPr>
          <w:rFonts w:ascii="Arial" w:eastAsia="Calibri" w:hAnsi="Arial" w:cs="Arial"/>
          <w:lang w:eastAsia="en-US"/>
        </w:rPr>
        <w:t xml:space="preserve"> </w:t>
      </w:r>
      <w:r w:rsidRPr="007E57A4">
        <w:rPr>
          <w:rFonts w:ascii="Arial" w:eastAsia="Calibri" w:hAnsi="Arial" w:cs="Arial"/>
          <w:lang w:eastAsia="en-US"/>
        </w:rPr>
        <w:t>those locations do business u</w:t>
      </w:r>
      <w:r w:rsidR="002E7B13" w:rsidRPr="007E57A4">
        <w:rPr>
          <w:rFonts w:ascii="Arial" w:eastAsia="Calibri" w:hAnsi="Arial" w:cs="Arial"/>
          <w:lang w:eastAsia="en-US"/>
        </w:rPr>
        <w:t>nder the same or multiple names, as of March 13, 2020.</w:t>
      </w:r>
      <w:r w:rsidR="009A0AAF" w:rsidRPr="009A0AAF">
        <w:t xml:space="preserve"> </w:t>
      </w:r>
      <w:r w:rsidR="009A0AAF" w:rsidRPr="007E57A4">
        <w:rPr>
          <w:rFonts w:ascii="Arial" w:eastAsia="Calibri" w:hAnsi="Arial" w:cs="Arial"/>
          <w:lang w:eastAsia="en-US"/>
        </w:rPr>
        <w:t>An affiliated business h</w:t>
      </w:r>
      <w:r w:rsidR="005C5DB8">
        <w:rPr>
          <w:rFonts w:ascii="Arial" w:eastAsia="Calibri" w:hAnsi="Arial" w:cs="Arial"/>
          <w:lang w:eastAsia="en-US"/>
        </w:rPr>
        <w:t xml:space="preserve">as an equity or right to profit </w:t>
      </w:r>
      <w:r w:rsidR="009A0AAF" w:rsidRPr="007E57A4">
        <w:rPr>
          <w:rFonts w:ascii="Arial" w:eastAsia="Calibri" w:hAnsi="Arial" w:cs="Arial"/>
          <w:lang w:eastAsia="en-US"/>
        </w:rPr>
        <w:t>distribution of 50 percent</w:t>
      </w:r>
      <w:r w:rsidR="005C5DB8">
        <w:rPr>
          <w:rFonts w:ascii="Arial" w:eastAsia="Calibri" w:hAnsi="Arial" w:cs="Arial"/>
          <w:lang w:eastAsia="en-US"/>
        </w:rPr>
        <w:t xml:space="preserve"> or more, or </w:t>
      </w:r>
      <w:r w:rsidR="009A0AAF" w:rsidRPr="007E57A4">
        <w:rPr>
          <w:rFonts w:ascii="Arial" w:eastAsia="Calibri" w:hAnsi="Arial" w:cs="Arial"/>
          <w:lang w:eastAsia="en-US"/>
        </w:rPr>
        <w:t>has contractual authority to control the direction of the busine</w:t>
      </w:r>
      <w:r w:rsidR="007E57A4">
        <w:rPr>
          <w:rFonts w:ascii="Arial" w:eastAsia="Calibri" w:hAnsi="Arial" w:cs="Arial"/>
          <w:lang w:eastAsia="en-US"/>
        </w:rPr>
        <w:t>ss, provided that such affili</w:t>
      </w:r>
      <w:r w:rsidR="009A0AAF" w:rsidRPr="007E57A4">
        <w:rPr>
          <w:rFonts w:ascii="Arial" w:eastAsia="Calibri" w:hAnsi="Arial" w:cs="Arial"/>
          <w:lang w:eastAsia="en-US"/>
        </w:rPr>
        <w:t xml:space="preserve">ation </w:t>
      </w:r>
      <w:r w:rsidR="005C5DB8">
        <w:rPr>
          <w:rFonts w:ascii="Arial" w:eastAsia="Calibri" w:hAnsi="Arial" w:cs="Arial"/>
          <w:lang w:eastAsia="en-US"/>
        </w:rPr>
        <w:t>“</w:t>
      </w:r>
      <w:r w:rsidR="009A0AAF" w:rsidRPr="007E57A4">
        <w:rPr>
          <w:rFonts w:ascii="Arial" w:eastAsia="Calibri" w:hAnsi="Arial" w:cs="Arial"/>
          <w:lang w:eastAsia="en-US"/>
        </w:rPr>
        <w:t>shall be determined as of any arrangements or</w:t>
      </w:r>
      <w:r w:rsidR="005C5DB8">
        <w:rPr>
          <w:rFonts w:ascii="Arial" w:eastAsia="Calibri" w:hAnsi="Arial" w:cs="Arial"/>
          <w:lang w:eastAsia="en-US"/>
        </w:rPr>
        <w:t xml:space="preserve"> </w:t>
      </w:r>
      <w:r w:rsidR="009A0AAF" w:rsidRPr="005C5DB8">
        <w:rPr>
          <w:rFonts w:ascii="Arial" w:eastAsia="Calibri" w:hAnsi="Arial" w:cs="Arial"/>
          <w:lang w:eastAsia="en-US"/>
        </w:rPr>
        <w:t>agreements in existence as of March 13, 2020.</w:t>
      </w:r>
      <w:r w:rsidR="005C5DB8">
        <w:rPr>
          <w:rFonts w:ascii="Arial" w:eastAsia="Calibri" w:hAnsi="Arial" w:cs="Arial"/>
          <w:lang w:eastAsia="en-US"/>
        </w:rPr>
        <w:t>”</w:t>
      </w:r>
    </w:p>
    <w:p w14:paraId="2C77B6A9" w14:textId="3B8AB45B" w:rsidR="00B10FA0" w:rsidRPr="00B10FA0" w:rsidRDefault="005C5DB8" w:rsidP="006F2D02">
      <w:pPr>
        <w:numPr>
          <w:ilvl w:val="1"/>
          <w:numId w:val="36"/>
        </w:numPr>
        <w:autoSpaceDE w:val="0"/>
        <w:autoSpaceDN w:val="0"/>
        <w:spacing w:before="60"/>
        <w:rPr>
          <w:rFonts w:ascii="Arial" w:eastAsia="Calibri" w:hAnsi="Arial" w:cs="Arial"/>
          <w:lang w:eastAsia="en-US"/>
        </w:rPr>
      </w:pPr>
      <w:r>
        <w:rPr>
          <w:rFonts w:ascii="Arial" w:eastAsia="Calibri" w:hAnsi="Arial" w:cs="Arial"/>
          <w:lang w:eastAsia="en-US"/>
        </w:rPr>
        <w:t>Eligible entities include</w:t>
      </w:r>
      <w:r w:rsidR="00B10FA0" w:rsidRPr="00B10FA0">
        <w:rPr>
          <w:rFonts w:ascii="Arial" w:eastAsia="Calibri" w:hAnsi="Arial" w:cs="Arial"/>
          <w:lang w:eastAsia="en-US"/>
        </w:rPr>
        <w:t xml:space="preserve"> a restaurant, food stand, food truck, food cart, caterer, saloon, inn, tavern, bar, lounge, brewpub, tasting room, taproom, licensed facility or premise of a beverage alcohol producer where the public may taste, sample, or purchase products, or other similar place of business in which the public or patrons assemble for the primary purpose of being served food or drink</w:t>
      </w:r>
      <w:r w:rsidR="00B10FA0">
        <w:rPr>
          <w:rFonts w:ascii="Arial" w:eastAsia="Calibri" w:hAnsi="Arial" w:cs="Arial"/>
          <w:lang w:eastAsia="en-US"/>
        </w:rPr>
        <w:t xml:space="preserve">. </w:t>
      </w:r>
    </w:p>
    <w:p w14:paraId="2A35A2C7" w14:textId="658FC473" w:rsidR="00B131A7" w:rsidRDefault="002E7B13" w:rsidP="006F2D02">
      <w:pPr>
        <w:numPr>
          <w:ilvl w:val="1"/>
          <w:numId w:val="36"/>
        </w:numPr>
        <w:autoSpaceDE w:val="0"/>
        <w:autoSpaceDN w:val="0"/>
        <w:spacing w:before="60"/>
        <w:rPr>
          <w:rFonts w:ascii="Arial" w:eastAsia="Calibri" w:hAnsi="Arial" w:cs="Arial"/>
          <w:lang w:eastAsia="en-US"/>
        </w:rPr>
      </w:pPr>
      <w:r w:rsidRPr="008A785B">
        <w:rPr>
          <w:rFonts w:ascii="Arial" w:eastAsia="Calibri" w:hAnsi="Arial" w:cs="Arial"/>
          <w:lang w:eastAsia="en-US"/>
        </w:rPr>
        <w:t xml:space="preserve">Entities </w:t>
      </w:r>
      <w:r w:rsidR="008A785B">
        <w:rPr>
          <w:rFonts w:ascii="Arial" w:eastAsia="Calibri" w:hAnsi="Arial" w:cs="Arial"/>
          <w:lang w:eastAsia="en-US"/>
        </w:rPr>
        <w:t>can apply using their existing business identifiers,</w:t>
      </w:r>
      <w:r w:rsidR="00113A3A" w:rsidRPr="008A785B">
        <w:rPr>
          <w:rFonts w:ascii="Arial" w:eastAsia="Calibri" w:hAnsi="Arial" w:cs="Arial"/>
          <w:lang w:eastAsia="en-US"/>
        </w:rPr>
        <w:t xml:space="preserve"> as the SBA will </w:t>
      </w:r>
      <w:r w:rsidR="008A785B">
        <w:rPr>
          <w:rFonts w:ascii="Arial" w:eastAsia="Calibri" w:hAnsi="Arial" w:cs="Arial"/>
          <w:lang w:eastAsia="en-US"/>
        </w:rPr>
        <w:t xml:space="preserve">avoid </w:t>
      </w:r>
      <w:r w:rsidR="00113A3A" w:rsidRPr="008A785B">
        <w:rPr>
          <w:rFonts w:ascii="Arial" w:eastAsia="Calibri" w:hAnsi="Arial" w:cs="Arial"/>
          <w:lang w:eastAsia="en-US"/>
        </w:rPr>
        <w:t>imposing additional burdens on applicants</w:t>
      </w:r>
      <w:r w:rsidR="008A785B">
        <w:rPr>
          <w:rFonts w:ascii="Arial" w:eastAsia="Calibri" w:hAnsi="Arial" w:cs="Arial"/>
          <w:lang w:eastAsia="en-US"/>
        </w:rPr>
        <w:t>.</w:t>
      </w:r>
    </w:p>
    <w:p w14:paraId="57704FFC" w14:textId="32F4E78E" w:rsidR="00FA40B7" w:rsidRPr="008A785B" w:rsidRDefault="00FA40B7" w:rsidP="006F2D02">
      <w:pPr>
        <w:numPr>
          <w:ilvl w:val="1"/>
          <w:numId w:val="36"/>
        </w:numPr>
        <w:autoSpaceDE w:val="0"/>
        <w:autoSpaceDN w:val="0"/>
        <w:spacing w:before="60"/>
        <w:rPr>
          <w:rFonts w:ascii="Arial" w:eastAsia="Calibri" w:hAnsi="Arial" w:cs="Arial"/>
          <w:lang w:eastAsia="en-US"/>
        </w:rPr>
      </w:pPr>
      <w:r>
        <w:rPr>
          <w:rFonts w:ascii="Arial" w:eastAsia="Calibri" w:hAnsi="Arial" w:cs="Arial"/>
          <w:lang w:eastAsia="en-US"/>
        </w:rPr>
        <w:t>Publicly-traded companies are ineligible.</w:t>
      </w:r>
    </w:p>
    <w:p w14:paraId="3042DAA4" w14:textId="26BC39A7" w:rsidR="00B131A7" w:rsidRDefault="00E62CF4" w:rsidP="006F2D02">
      <w:pPr>
        <w:numPr>
          <w:ilvl w:val="1"/>
          <w:numId w:val="36"/>
        </w:numPr>
        <w:autoSpaceDE w:val="0"/>
        <w:autoSpaceDN w:val="0"/>
        <w:spacing w:before="60"/>
        <w:rPr>
          <w:rFonts w:ascii="Arial" w:eastAsia="Calibri" w:hAnsi="Arial" w:cs="Arial"/>
          <w:lang w:eastAsia="en-US"/>
        </w:rPr>
      </w:pPr>
      <w:r>
        <w:rPr>
          <w:rFonts w:ascii="Arial" w:eastAsia="Calibri" w:hAnsi="Arial" w:cs="Arial"/>
          <w:lang w:eastAsia="en-US"/>
        </w:rPr>
        <w:t>Entities must s</w:t>
      </w:r>
      <w:r w:rsidR="00326BDB">
        <w:rPr>
          <w:rFonts w:ascii="Arial" w:eastAsia="Calibri" w:hAnsi="Arial" w:cs="Arial"/>
          <w:lang w:eastAsia="en-US"/>
        </w:rPr>
        <w:t>ubmit a g</w:t>
      </w:r>
      <w:r w:rsidR="00B131A7">
        <w:rPr>
          <w:rFonts w:ascii="Arial" w:eastAsia="Calibri" w:hAnsi="Arial" w:cs="Arial"/>
          <w:lang w:eastAsia="en-US"/>
        </w:rPr>
        <w:t>ood faith certification that:</w:t>
      </w:r>
    </w:p>
    <w:p w14:paraId="66914909" w14:textId="50045349" w:rsidR="00B131A7" w:rsidRDefault="00B131A7" w:rsidP="006F2D02">
      <w:pPr>
        <w:numPr>
          <w:ilvl w:val="2"/>
          <w:numId w:val="36"/>
        </w:numPr>
        <w:autoSpaceDE w:val="0"/>
        <w:autoSpaceDN w:val="0"/>
        <w:spacing w:before="60"/>
        <w:ind w:left="2405"/>
        <w:rPr>
          <w:rFonts w:ascii="Arial" w:eastAsia="Calibri" w:hAnsi="Arial" w:cs="Arial"/>
          <w:lang w:eastAsia="en-US"/>
        </w:rPr>
      </w:pPr>
      <w:r>
        <w:rPr>
          <w:rFonts w:ascii="Arial" w:eastAsia="Calibri" w:hAnsi="Arial" w:cs="Arial"/>
          <w:lang w:eastAsia="en-US"/>
        </w:rPr>
        <w:t>U</w:t>
      </w:r>
      <w:r w:rsidRPr="00B131A7">
        <w:rPr>
          <w:rFonts w:ascii="Arial" w:eastAsia="Calibri" w:hAnsi="Arial" w:cs="Arial"/>
          <w:lang w:eastAsia="en-US"/>
        </w:rPr>
        <w:t>ncertainty of current economic conditions makes necessary the grant request to</w:t>
      </w:r>
      <w:r>
        <w:rPr>
          <w:rFonts w:ascii="Arial" w:eastAsia="Calibri" w:hAnsi="Arial" w:cs="Arial"/>
          <w:lang w:eastAsia="en-US"/>
        </w:rPr>
        <w:t xml:space="preserve"> support the ongoing operations.</w:t>
      </w:r>
    </w:p>
    <w:p w14:paraId="50FC0643" w14:textId="0DC2E7F1" w:rsidR="008A785B" w:rsidRPr="008A785B" w:rsidRDefault="008A785B" w:rsidP="006F2D02">
      <w:pPr>
        <w:numPr>
          <w:ilvl w:val="2"/>
          <w:numId w:val="36"/>
        </w:numPr>
        <w:autoSpaceDE w:val="0"/>
        <w:autoSpaceDN w:val="0"/>
        <w:spacing w:before="60"/>
        <w:rPr>
          <w:rFonts w:ascii="Arial" w:eastAsia="Calibri" w:hAnsi="Arial" w:cs="Arial"/>
          <w:lang w:eastAsia="en-US"/>
        </w:rPr>
      </w:pPr>
      <w:r w:rsidRPr="008A785B">
        <w:rPr>
          <w:rFonts w:ascii="Arial" w:eastAsia="Calibri" w:hAnsi="Arial" w:cs="Arial"/>
          <w:lang w:eastAsia="en-US"/>
        </w:rPr>
        <w:t xml:space="preserve">The entity has not applied for nor received a </w:t>
      </w:r>
      <w:r>
        <w:rPr>
          <w:rFonts w:ascii="Arial" w:eastAsia="Calibri" w:hAnsi="Arial" w:cs="Arial"/>
          <w:lang w:eastAsia="en-US"/>
        </w:rPr>
        <w:t>“Shuttered Venue Operators” grant (generally for performing arts, live venues, theaters, etc.).</w:t>
      </w:r>
    </w:p>
    <w:p w14:paraId="7CF7B7E4" w14:textId="7E021267" w:rsidR="00347237" w:rsidRDefault="002A4D39" w:rsidP="00347237">
      <w:pPr>
        <w:numPr>
          <w:ilvl w:val="0"/>
          <w:numId w:val="36"/>
        </w:numPr>
        <w:autoSpaceDE w:val="0"/>
        <w:autoSpaceDN w:val="0"/>
        <w:spacing w:before="120"/>
        <w:rPr>
          <w:rFonts w:ascii="Arial" w:hAnsi="Arial" w:cs="Arial"/>
        </w:rPr>
      </w:pPr>
      <w:r w:rsidRPr="002A4D39">
        <w:rPr>
          <w:rFonts w:ascii="Arial" w:hAnsi="Arial" w:cs="Arial"/>
          <w:b/>
        </w:rPr>
        <w:t>Tax Treatment:</w:t>
      </w:r>
      <w:r w:rsidRPr="002A4D39">
        <w:rPr>
          <w:rFonts w:ascii="Arial" w:hAnsi="Arial" w:cs="Arial"/>
        </w:rPr>
        <w:t xml:space="preserve"> Grants are </w:t>
      </w:r>
      <w:r w:rsidR="00FB39D2">
        <w:rPr>
          <w:rFonts w:ascii="Arial" w:hAnsi="Arial" w:cs="Arial"/>
        </w:rPr>
        <w:t>not taxed like</w:t>
      </w:r>
      <w:r w:rsidRPr="002A4D39">
        <w:rPr>
          <w:rFonts w:ascii="Arial" w:hAnsi="Arial" w:cs="Arial"/>
        </w:rPr>
        <w:t xml:space="preserve"> income and </w:t>
      </w:r>
      <w:r w:rsidR="00FB39D2">
        <w:rPr>
          <w:rFonts w:ascii="Arial" w:hAnsi="Arial" w:cs="Arial"/>
        </w:rPr>
        <w:t>all normal federal tax</w:t>
      </w:r>
      <w:r w:rsidRPr="002A4D39">
        <w:rPr>
          <w:rFonts w:ascii="Arial" w:hAnsi="Arial" w:cs="Arial"/>
        </w:rPr>
        <w:t xml:space="preserve"> deduction</w:t>
      </w:r>
      <w:r w:rsidR="00FB39D2">
        <w:rPr>
          <w:rFonts w:ascii="Arial" w:hAnsi="Arial" w:cs="Arial"/>
        </w:rPr>
        <w:t>s</w:t>
      </w:r>
      <w:r w:rsidRPr="002A4D39">
        <w:rPr>
          <w:rFonts w:ascii="Arial" w:hAnsi="Arial" w:cs="Arial"/>
        </w:rPr>
        <w:t xml:space="preserve"> </w:t>
      </w:r>
      <w:r w:rsidR="003A3E64">
        <w:rPr>
          <w:rFonts w:ascii="Arial" w:hAnsi="Arial" w:cs="Arial"/>
        </w:rPr>
        <w:t>ar</w:t>
      </w:r>
      <w:r w:rsidR="00EE4A5B">
        <w:rPr>
          <w:rFonts w:ascii="Arial" w:hAnsi="Arial" w:cs="Arial"/>
        </w:rPr>
        <w:t>e</w:t>
      </w:r>
      <w:r w:rsidR="00FB39D2">
        <w:rPr>
          <w:rFonts w:ascii="Arial" w:hAnsi="Arial" w:cs="Arial"/>
        </w:rPr>
        <w:t xml:space="preserve"> protected.</w:t>
      </w:r>
    </w:p>
    <w:p w14:paraId="65315D63" w14:textId="0787AC81" w:rsidR="00347237" w:rsidRPr="007D3930" w:rsidRDefault="00347237" w:rsidP="00347237">
      <w:pPr>
        <w:numPr>
          <w:ilvl w:val="0"/>
          <w:numId w:val="36"/>
        </w:numPr>
        <w:autoSpaceDE w:val="0"/>
        <w:autoSpaceDN w:val="0"/>
        <w:spacing w:before="120"/>
        <w:rPr>
          <w:rFonts w:ascii="Arial" w:hAnsi="Arial" w:cs="Arial"/>
        </w:rPr>
      </w:pPr>
      <w:r>
        <w:rPr>
          <w:rFonts w:ascii="Arial" w:hAnsi="Arial" w:cs="Arial"/>
          <w:b/>
        </w:rPr>
        <w:t>New Limitations on Private Funds and Anti-</w:t>
      </w:r>
      <w:r w:rsidRPr="00347237">
        <w:rPr>
          <w:rFonts w:ascii="Arial" w:hAnsi="Arial" w:cs="Arial"/>
          <w:b/>
        </w:rPr>
        <w:t>Evasion</w:t>
      </w:r>
      <w:r w:rsidR="007D3930">
        <w:rPr>
          <w:rFonts w:ascii="Arial" w:hAnsi="Arial" w:cs="Arial"/>
          <w:b/>
        </w:rPr>
        <w:t>.</w:t>
      </w:r>
    </w:p>
    <w:p w14:paraId="7AF18708" w14:textId="1ED64AA0" w:rsidR="007D3930" w:rsidRDefault="007D3930" w:rsidP="007D3930">
      <w:pPr>
        <w:autoSpaceDE w:val="0"/>
        <w:autoSpaceDN w:val="0"/>
        <w:spacing w:before="120"/>
        <w:rPr>
          <w:rFonts w:ascii="Arial" w:hAnsi="Arial" w:cs="Arial"/>
          <w:b/>
        </w:rPr>
      </w:pPr>
    </w:p>
    <w:p w14:paraId="22E7055D" w14:textId="28EF2FDF" w:rsidR="007D3930" w:rsidRPr="007D3930" w:rsidRDefault="007D3930" w:rsidP="007D3930">
      <w:pPr>
        <w:autoSpaceDE w:val="0"/>
        <w:autoSpaceDN w:val="0"/>
        <w:spacing w:before="120"/>
        <w:rPr>
          <w:rFonts w:ascii="Arial" w:hAnsi="Arial" w:cs="Arial"/>
          <w:b/>
        </w:rPr>
        <w:sectPr w:rsidR="007D3930" w:rsidRPr="007D3930" w:rsidSect="00DB4624">
          <w:headerReference w:type="even" r:id="rId11"/>
          <w:headerReference w:type="default" r:id="rId12"/>
          <w:headerReference w:type="first" r:id="rId13"/>
          <w:footerReference w:type="first" r:id="rId14"/>
          <w:pgSz w:w="12240" w:h="15840"/>
          <w:pgMar w:top="2520" w:right="1440" w:bottom="1440" w:left="1440" w:header="0" w:footer="0" w:gutter="0"/>
          <w:pgNumType w:start="2"/>
          <w:cols w:space="720"/>
          <w:titlePg/>
          <w:docGrid w:linePitch="326"/>
        </w:sectPr>
      </w:pPr>
      <w:r>
        <w:rPr>
          <w:rFonts w:ascii="Arial" w:hAnsi="Arial" w:cs="Arial"/>
          <w:b/>
        </w:rPr>
        <w:t xml:space="preserve">More information: </w:t>
      </w:r>
      <w:hyperlink r:id="rId15" w:history="1">
        <w:r w:rsidRPr="009A6D0D">
          <w:rPr>
            <w:rStyle w:val="Hyperlink"/>
            <w:rFonts w:ascii="Arial" w:hAnsi="Arial" w:cs="Arial"/>
            <w:b/>
          </w:rPr>
          <w:t>www.RestaurantsAct.com</w:t>
        </w:r>
      </w:hyperlink>
    </w:p>
    <w:p w14:paraId="36999D2B" w14:textId="77777777" w:rsidR="00CE5592" w:rsidRDefault="00CE5592" w:rsidP="00FB1483">
      <w:pPr>
        <w:pStyle w:val="PlainText"/>
        <w:rPr>
          <w:rFonts w:ascii="Arial" w:hAnsi="Arial" w:cs="Arial"/>
        </w:rPr>
        <w:sectPr w:rsidR="00CE5592" w:rsidSect="00CE5592">
          <w:type w:val="continuous"/>
          <w:pgSz w:w="12240" w:h="15840"/>
          <w:pgMar w:top="2520" w:right="1440" w:bottom="1440" w:left="1440" w:header="0" w:footer="0" w:gutter="0"/>
          <w:pgNumType w:start="2"/>
          <w:cols w:num="2" w:space="288"/>
          <w:titlePg/>
          <w:docGrid w:linePitch="326"/>
        </w:sectPr>
      </w:pPr>
    </w:p>
    <w:p w14:paraId="51E42E80" w14:textId="39D8BC77" w:rsidR="007D3930" w:rsidRDefault="007D3930" w:rsidP="002A5405">
      <w:pPr>
        <w:pStyle w:val="NoSpacing"/>
      </w:pPr>
    </w:p>
    <w:sectPr w:rsidR="007D3930" w:rsidSect="00CE5592">
      <w:headerReference w:type="default" r:id="rId16"/>
      <w:type w:val="continuous"/>
      <w:pgSz w:w="12240" w:h="15840"/>
      <w:pgMar w:top="2520" w:right="1440" w:bottom="1440" w:left="1440" w:header="0"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8BA3" w14:textId="77777777" w:rsidR="0077779F" w:rsidRDefault="0077779F" w:rsidP="00D01C94">
      <w:r>
        <w:separator/>
      </w:r>
    </w:p>
  </w:endnote>
  <w:endnote w:type="continuationSeparator" w:id="0">
    <w:p w14:paraId="6B2A9FA0" w14:textId="77777777" w:rsidR="0077779F" w:rsidRDefault="0077779F" w:rsidP="00D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C5EF" w14:textId="709D44FC" w:rsidR="007E57A4" w:rsidRDefault="007E57A4">
    <w:pPr>
      <w:pStyle w:val="Footer"/>
    </w:pPr>
    <w:r>
      <w:rPr>
        <w:noProof/>
        <w:lang w:eastAsia="en-US"/>
      </w:rPr>
      <w:drawing>
        <wp:inline distT="0" distB="0" distL="0" distR="0" wp14:anchorId="5A4819E1" wp14:editId="17F6C2D6">
          <wp:extent cx="777303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14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BFDF" w14:textId="77777777" w:rsidR="0077779F" w:rsidRDefault="0077779F" w:rsidP="00D01C94">
      <w:r>
        <w:separator/>
      </w:r>
    </w:p>
  </w:footnote>
  <w:footnote w:type="continuationSeparator" w:id="0">
    <w:p w14:paraId="0F2303A9" w14:textId="77777777" w:rsidR="0077779F" w:rsidRDefault="0077779F" w:rsidP="00D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8AA6" w14:textId="77777777" w:rsidR="007E57A4" w:rsidRDefault="007E57A4" w:rsidP="00F8380A">
    <w:pPr>
      <w:pStyle w:val="Header"/>
    </w:pPr>
  </w:p>
  <w:p w14:paraId="1645FB52" w14:textId="77777777" w:rsidR="007E57A4" w:rsidRPr="00FE145D" w:rsidRDefault="007E57A4" w:rsidP="00F8380A">
    <w:pPr>
      <w:pStyle w:val="Header"/>
      <w:rPr>
        <w:rFonts w:ascii="Arial" w:hAnsi="Arial" w:cs="Arial"/>
      </w:rPr>
    </w:pPr>
    <w:r w:rsidRPr="00FE145D">
      <w:rPr>
        <w:rFonts w:ascii="Arial" w:hAnsi="Arial" w:cs="Arial"/>
      </w:rPr>
      <w:t>Honorable Jovita Carranza</w:t>
    </w:r>
  </w:p>
  <w:p w14:paraId="4B8533C5" w14:textId="578AACEA" w:rsidR="007E57A4" w:rsidRPr="00075758" w:rsidRDefault="007E57A4">
    <w:pPr>
      <w:pStyle w:val="Header"/>
      <w:rPr>
        <w:rFonts w:ascii="Arial" w:hAnsi="Arial" w:cs="Arial"/>
      </w:rPr>
    </w:pPr>
    <w:r>
      <w:rPr>
        <w:rFonts w:ascii="Arial" w:hAnsi="Arial" w:cs="Arial"/>
      </w:rPr>
      <w:t>Page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55E3" w14:textId="77777777" w:rsidR="007E57A4" w:rsidRDefault="007E57A4" w:rsidP="00F8380A">
    <w:pPr>
      <w:pStyle w:val="Header"/>
    </w:pPr>
  </w:p>
  <w:p w14:paraId="17508C77" w14:textId="585133E6" w:rsidR="007E57A4" w:rsidRDefault="00344FD4" w:rsidP="00F8380A">
    <w:pPr>
      <w:pStyle w:val="Header"/>
      <w:rPr>
        <w:rFonts w:ascii="Arial" w:hAnsi="Arial" w:cs="Arial"/>
      </w:rPr>
    </w:pPr>
    <w:r>
      <w:rPr>
        <w:rFonts w:ascii="Arial" w:hAnsi="Arial" w:cs="Arial"/>
      </w:rPr>
      <w:t>Restaurant Revitalization Fund (RRF)</w:t>
    </w:r>
  </w:p>
  <w:p w14:paraId="44F57374" w14:textId="0F6C7F40" w:rsidR="007E57A4" w:rsidRDefault="00E23F5F" w:rsidP="00F8380A">
    <w:pPr>
      <w:pStyle w:val="Header"/>
      <w:rPr>
        <w:rFonts w:ascii="Arial" w:hAnsi="Arial" w:cs="Arial"/>
      </w:rPr>
    </w:pPr>
    <w:r>
      <w:rPr>
        <w:rFonts w:ascii="Arial" w:hAnsi="Arial" w:cs="Arial"/>
      </w:rPr>
      <w:t>March 2, 2021</w:t>
    </w:r>
  </w:p>
  <w:p w14:paraId="505A72F8" w14:textId="188F8C40" w:rsidR="00A41E91" w:rsidRPr="00FE145D" w:rsidRDefault="00A41E91" w:rsidP="00F8380A">
    <w:pPr>
      <w:pStyle w:val="Header"/>
      <w:rPr>
        <w:rFonts w:ascii="Arial" w:hAnsi="Arial" w:cs="Arial"/>
      </w:rPr>
    </w:pPr>
    <w:r>
      <w:rPr>
        <w:rFonts w:ascii="Arial" w:hAnsi="Arial" w:cs="Arial"/>
      </w:rPr>
      <w:t>Page Two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77B9" w14:textId="5902AB92" w:rsidR="007E57A4" w:rsidRDefault="007E57A4">
    <w:pPr>
      <w:pStyle w:val="Header"/>
    </w:pPr>
    <w:r w:rsidRPr="004A3AF1">
      <w:rPr>
        <w:rFonts w:ascii="Calibri" w:eastAsia="Times New Roman" w:hAnsi="Calibri" w:cs="Times New Roman"/>
        <w:noProof/>
        <w:sz w:val="22"/>
        <w:szCs w:val="22"/>
        <w:lang w:eastAsia="en-US"/>
      </w:rPr>
      <w:drawing>
        <wp:anchor distT="0" distB="0" distL="114300" distR="114300" simplePos="0" relativeHeight="251665408" behindDoc="1" locked="0" layoutInCell="1" allowOverlap="1" wp14:anchorId="7FD9625E" wp14:editId="53CF4C0B">
          <wp:simplePos x="0" y="0"/>
          <wp:positionH relativeFrom="margin">
            <wp:posOffset>-934622</wp:posOffset>
          </wp:positionH>
          <wp:positionV relativeFrom="paragraph">
            <wp:posOffset>20564</wp:posOffset>
          </wp:positionV>
          <wp:extent cx="7772400" cy="1231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lt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314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0E0A" w14:textId="77777777" w:rsidR="007E57A4" w:rsidRDefault="007E57A4" w:rsidP="00F8380A">
    <w:pPr>
      <w:pStyle w:val="Header"/>
    </w:pPr>
  </w:p>
  <w:p w14:paraId="55C15D6A" w14:textId="77777777" w:rsidR="007E57A4" w:rsidRDefault="007E57A4" w:rsidP="00F8380A">
    <w:pPr>
      <w:pStyle w:val="Header"/>
      <w:rPr>
        <w:rFonts w:ascii="Arial" w:hAnsi="Arial" w:cs="Arial"/>
      </w:rPr>
    </w:pPr>
    <w:r w:rsidRPr="00FE145D">
      <w:rPr>
        <w:rFonts w:ascii="Arial" w:hAnsi="Arial" w:cs="Arial"/>
      </w:rPr>
      <w:t xml:space="preserve">Honorable </w:t>
    </w:r>
    <w:r>
      <w:rPr>
        <w:rFonts w:ascii="Arial" w:hAnsi="Arial" w:cs="Arial"/>
      </w:rPr>
      <w:t>Steven Mnuchin</w:t>
    </w:r>
  </w:p>
  <w:p w14:paraId="762985CB" w14:textId="77777777" w:rsidR="007E57A4" w:rsidRDefault="007E57A4" w:rsidP="00F8380A">
    <w:pPr>
      <w:pStyle w:val="Header"/>
      <w:rPr>
        <w:rFonts w:ascii="Arial" w:hAnsi="Arial" w:cs="Arial"/>
      </w:rPr>
    </w:pPr>
    <w:r>
      <w:rPr>
        <w:rFonts w:ascii="Arial" w:hAnsi="Arial" w:cs="Arial"/>
      </w:rPr>
      <w:t xml:space="preserve">Honorable </w:t>
    </w:r>
    <w:r w:rsidRPr="00FE145D">
      <w:rPr>
        <w:rFonts w:ascii="Arial" w:hAnsi="Arial" w:cs="Arial"/>
      </w:rPr>
      <w:t>Jovita Carranza</w:t>
    </w:r>
  </w:p>
  <w:p w14:paraId="31FEB83B" w14:textId="7BC91C2E" w:rsidR="007E57A4" w:rsidRDefault="007E57A4" w:rsidP="00F8380A">
    <w:pPr>
      <w:pStyle w:val="Header"/>
      <w:rPr>
        <w:rFonts w:ascii="Arial" w:hAnsi="Arial" w:cs="Arial"/>
      </w:rPr>
    </w:pPr>
    <w:r>
      <w:rPr>
        <w:rFonts w:ascii="Arial" w:hAnsi="Arial" w:cs="Arial"/>
      </w:rPr>
      <w:t>Page Three</w:t>
    </w:r>
  </w:p>
  <w:p w14:paraId="13EE701A" w14:textId="77777777" w:rsidR="007E57A4" w:rsidRPr="00FE145D" w:rsidRDefault="007E57A4" w:rsidP="00F8380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BB5"/>
    <w:multiLevelType w:val="hybridMultilevel"/>
    <w:tmpl w:val="B3C2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D3EEE"/>
    <w:multiLevelType w:val="hybridMultilevel"/>
    <w:tmpl w:val="F9F6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D0528"/>
    <w:multiLevelType w:val="hybridMultilevel"/>
    <w:tmpl w:val="DC2632E6"/>
    <w:lvl w:ilvl="0" w:tplc="51800F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1B9F"/>
    <w:multiLevelType w:val="hybridMultilevel"/>
    <w:tmpl w:val="764A9264"/>
    <w:lvl w:ilvl="0" w:tplc="79565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0205"/>
    <w:multiLevelType w:val="hybridMultilevel"/>
    <w:tmpl w:val="CEF65450"/>
    <w:lvl w:ilvl="0" w:tplc="51800F7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63FA"/>
    <w:multiLevelType w:val="hybridMultilevel"/>
    <w:tmpl w:val="E6804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52EB4"/>
    <w:multiLevelType w:val="hybridMultilevel"/>
    <w:tmpl w:val="FB56D2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207E4546"/>
    <w:multiLevelType w:val="hybridMultilevel"/>
    <w:tmpl w:val="436013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7D5184"/>
    <w:multiLevelType w:val="hybridMultilevel"/>
    <w:tmpl w:val="265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24EC9"/>
    <w:multiLevelType w:val="hybridMultilevel"/>
    <w:tmpl w:val="6ADA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61B1"/>
    <w:multiLevelType w:val="hybridMultilevel"/>
    <w:tmpl w:val="872E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2535"/>
    <w:multiLevelType w:val="hybridMultilevel"/>
    <w:tmpl w:val="2200D120"/>
    <w:lvl w:ilvl="0" w:tplc="0409000F">
      <w:start w:val="1"/>
      <w:numFmt w:val="decimal"/>
      <w:lvlText w:val="%1."/>
      <w:lvlJc w:val="left"/>
      <w:pPr>
        <w:ind w:left="720" w:hanging="360"/>
      </w:pPr>
    </w:lvl>
    <w:lvl w:ilvl="1" w:tplc="314812D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071AD"/>
    <w:multiLevelType w:val="hybridMultilevel"/>
    <w:tmpl w:val="8A10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F7F9F"/>
    <w:multiLevelType w:val="hybridMultilevel"/>
    <w:tmpl w:val="891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D3A7F"/>
    <w:multiLevelType w:val="multilevel"/>
    <w:tmpl w:val="F6ACAC70"/>
    <w:lvl w:ilvl="0">
      <w:start w:val="1"/>
      <w:numFmt w:val="decimal"/>
      <w:lvlText w:val="(%1)"/>
      <w:lvlJc w:val="left"/>
      <w:pPr>
        <w:tabs>
          <w:tab w:val="num" w:pos="720"/>
        </w:tabs>
        <w:ind w:left="720" w:hanging="360"/>
      </w:pPr>
      <w:rPr>
        <w:rFonts w:ascii="Calibri" w:eastAsia="Calibri" w:hAnsi="Calibri"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9C0819"/>
    <w:multiLevelType w:val="hybridMultilevel"/>
    <w:tmpl w:val="FC88A88C"/>
    <w:lvl w:ilvl="0" w:tplc="0409000F">
      <w:start w:val="1"/>
      <w:numFmt w:val="decimal"/>
      <w:lvlText w:val="%1."/>
      <w:lvlJc w:val="left"/>
      <w:pPr>
        <w:ind w:left="720" w:hanging="360"/>
      </w:pPr>
    </w:lvl>
    <w:lvl w:ilvl="1" w:tplc="8E7A680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772A6"/>
    <w:multiLevelType w:val="hybridMultilevel"/>
    <w:tmpl w:val="9AF634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6E33"/>
    <w:multiLevelType w:val="hybridMultilevel"/>
    <w:tmpl w:val="D3A8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766E4"/>
    <w:multiLevelType w:val="hybridMultilevel"/>
    <w:tmpl w:val="11EC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24DE7"/>
    <w:multiLevelType w:val="hybridMultilevel"/>
    <w:tmpl w:val="CC0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C2459"/>
    <w:multiLevelType w:val="hybridMultilevel"/>
    <w:tmpl w:val="D7F0BD4C"/>
    <w:lvl w:ilvl="0" w:tplc="C2E2E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215A1"/>
    <w:multiLevelType w:val="hybridMultilevel"/>
    <w:tmpl w:val="0D64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773A"/>
    <w:multiLevelType w:val="hybridMultilevel"/>
    <w:tmpl w:val="8AC62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1E008C9"/>
    <w:multiLevelType w:val="hybridMultilevel"/>
    <w:tmpl w:val="68284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22F4C"/>
    <w:multiLevelType w:val="hybridMultilevel"/>
    <w:tmpl w:val="2B801C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A37901"/>
    <w:multiLevelType w:val="hybridMultilevel"/>
    <w:tmpl w:val="320454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7328A2"/>
    <w:multiLevelType w:val="hybridMultilevel"/>
    <w:tmpl w:val="2692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170AC"/>
    <w:multiLevelType w:val="hybridMultilevel"/>
    <w:tmpl w:val="B2563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11A4D"/>
    <w:multiLevelType w:val="multilevel"/>
    <w:tmpl w:val="6088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D1444"/>
    <w:multiLevelType w:val="hybridMultilevel"/>
    <w:tmpl w:val="E62CD9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30" w15:restartNumberingAfterBreak="0">
    <w:nsid w:val="7C00545C"/>
    <w:multiLevelType w:val="hybridMultilevel"/>
    <w:tmpl w:val="7F0A2082"/>
    <w:lvl w:ilvl="0" w:tplc="39ECA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502FD"/>
    <w:multiLevelType w:val="hybridMultilevel"/>
    <w:tmpl w:val="FB5A4A04"/>
    <w:lvl w:ilvl="0" w:tplc="2322575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41C29"/>
    <w:multiLevelType w:val="hybridMultilevel"/>
    <w:tmpl w:val="742C5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23"/>
  </w:num>
  <w:num w:numId="8">
    <w:abstractNumId w:val="19"/>
  </w:num>
  <w:num w:numId="9">
    <w:abstractNumId w:val="0"/>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25"/>
  </w:num>
  <w:num w:numId="13">
    <w:abstractNumId w:val="4"/>
  </w:num>
  <w:num w:numId="14">
    <w:abstractNumId w:val="0"/>
  </w:num>
  <w:num w:numId="15">
    <w:abstractNumId w:val="28"/>
  </w:num>
  <w:num w:numId="16">
    <w:abstractNumId w:val="2"/>
  </w:num>
  <w:num w:numId="17">
    <w:abstractNumId w:val="9"/>
  </w:num>
  <w:num w:numId="18">
    <w:abstractNumId w:val="10"/>
  </w:num>
  <w:num w:numId="19">
    <w:abstractNumId w:val="17"/>
  </w:num>
  <w:num w:numId="20">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
  </w:num>
  <w:num w:numId="25">
    <w:abstractNumId w:val="8"/>
  </w:num>
  <w:num w:numId="26">
    <w:abstractNumId w:val="16"/>
  </w:num>
  <w:num w:numId="27">
    <w:abstractNumId w:val="30"/>
  </w:num>
  <w:num w:numId="28">
    <w:abstractNumId w:val="1"/>
  </w:num>
  <w:num w:numId="29">
    <w:abstractNumId w:val="18"/>
  </w:num>
  <w:num w:numId="30">
    <w:abstractNumId w:val="17"/>
  </w:num>
  <w:num w:numId="31">
    <w:abstractNumId w:val="20"/>
  </w:num>
  <w:num w:numId="32">
    <w:abstractNumId w:val="13"/>
  </w:num>
  <w:num w:numId="33">
    <w:abstractNumId w:val="32"/>
  </w:num>
  <w:num w:numId="34">
    <w:abstractNumId w:val="3"/>
  </w:num>
  <w:num w:numId="35">
    <w:abstractNumId w:val="27"/>
  </w:num>
  <w:num w:numId="36">
    <w:abstractNumId w:val="29"/>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94"/>
    <w:rsid w:val="0000191A"/>
    <w:rsid w:val="000052FA"/>
    <w:rsid w:val="00014112"/>
    <w:rsid w:val="0001563D"/>
    <w:rsid w:val="00020A8F"/>
    <w:rsid w:val="00021B91"/>
    <w:rsid w:val="000253C2"/>
    <w:rsid w:val="00027B66"/>
    <w:rsid w:val="000353A0"/>
    <w:rsid w:val="00046919"/>
    <w:rsid w:val="00052261"/>
    <w:rsid w:val="00061F9D"/>
    <w:rsid w:val="00062A9A"/>
    <w:rsid w:val="00065A44"/>
    <w:rsid w:val="00065EA3"/>
    <w:rsid w:val="0007041E"/>
    <w:rsid w:val="0007495F"/>
    <w:rsid w:val="00074BE1"/>
    <w:rsid w:val="00075758"/>
    <w:rsid w:val="00087D55"/>
    <w:rsid w:val="000944AD"/>
    <w:rsid w:val="000971B3"/>
    <w:rsid w:val="000A3524"/>
    <w:rsid w:val="000A469D"/>
    <w:rsid w:val="000B2BE8"/>
    <w:rsid w:val="000B3863"/>
    <w:rsid w:val="000B5058"/>
    <w:rsid w:val="000D223E"/>
    <w:rsid w:val="000D57A9"/>
    <w:rsid w:val="000E00EA"/>
    <w:rsid w:val="000E1084"/>
    <w:rsid w:val="000E6051"/>
    <w:rsid w:val="000E6668"/>
    <w:rsid w:val="000E6E81"/>
    <w:rsid w:val="000E7283"/>
    <w:rsid w:val="000F7DD5"/>
    <w:rsid w:val="00101819"/>
    <w:rsid w:val="00113A3A"/>
    <w:rsid w:val="00121640"/>
    <w:rsid w:val="001237E7"/>
    <w:rsid w:val="00130804"/>
    <w:rsid w:val="001320F4"/>
    <w:rsid w:val="00134853"/>
    <w:rsid w:val="00141B11"/>
    <w:rsid w:val="0014217E"/>
    <w:rsid w:val="00145D60"/>
    <w:rsid w:val="00145EF4"/>
    <w:rsid w:val="00152A79"/>
    <w:rsid w:val="00152F82"/>
    <w:rsid w:val="00153EF5"/>
    <w:rsid w:val="00163B23"/>
    <w:rsid w:val="00165638"/>
    <w:rsid w:val="00170277"/>
    <w:rsid w:val="00172066"/>
    <w:rsid w:val="00174731"/>
    <w:rsid w:val="0018759C"/>
    <w:rsid w:val="001904EB"/>
    <w:rsid w:val="00195153"/>
    <w:rsid w:val="001B08AF"/>
    <w:rsid w:val="001B3A99"/>
    <w:rsid w:val="001B7CBE"/>
    <w:rsid w:val="001C15E1"/>
    <w:rsid w:val="001C2E8C"/>
    <w:rsid w:val="001C3884"/>
    <w:rsid w:val="001C6FBD"/>
    <w:rsid w:val="001D3EF8"/>
    <w:rsid w:val="001E6DF0"/>
    <w:rsid w:val="001F4D6A"/>
    <w:rsid w:val="00201555"/>
    <w:rsid w:val="00205A95"/>
    <w:rsid w:val="00212AD9"/>
    <w:rsid w:val="0021684C"/>
    <w:rsid w:val="00221C58"/>
    <w:rsid w:val="00225F99"/>
    <w:rsid w:val="00226DB3"/>
    <w:rsid w:val="0024331A"/>
    <w:rsid w:val="0025235F"/>
    <w:rsid w:val="002534F3"/>
    <w:rsid w:val="00254159"/>
    <w:rsid w:val="0025477E"/>
    <w:rsid w:val="0025757C"/>
    <w:rsid w:val="00263D82"/>
    <w:rsid w:val="00267475"/>
    <w:rsid w:val="0027006F"/>
    <w:rsid w:val="00272530"/>
    <w:rsid w:val="00274741"/>
    <w:rsid w:val="002826B7"/>
    <w:rsid w:val="002838C3"/>
    <w:rsid w:val="002844AF"/>
    <w:rsid w:val="00286794"/>
    <w:rsid w:val="002A1309"/>
    <w:rsid w:val="002A1F96"/>
    <w:rsid w:val="002A397B"/>
    <w:rsid w:val="002A4D39"/>
    <w:rsid w:val="002A5405"/>
    <w:rsid w:val="002B0E8C"/>
    <w:rsid w:val="002B45E2"/>
    <w:rsid w:val="002C03C4"/>
    <w:rsid w:val="002C0A41"/>
    <w:rsid w:val="002C28DA"/>
    <w:rsid w:val="002D259C"/>
    <w:rsid w:val="002D4F84"/>
    <w:rsid w:val="002E1585"/>
    <w:rsid w:val="002E2CD3"/>
    <w:rsid w:val="002E7B13"/>
    <w:rsid w:val="002F1A0A"/>
    <w:rsid w:val="002F1CA7"/>
    <w:rsid w:val="002F4A1D"/>
    <w:rsid w:val="003104AA"/>
    <w:rsid w:val="003174F7"/>
    <w:rsid w:val="003216DD"/>
    <w:rsid w:val="0032317B"/>
    <w:rsid w:val="003267EB"/>
    <w:rsid w:val="00326BDB"/>
    <w:rsid w:val="003330E0"/>
    <w:rsid w:val="00336636"/>
    <w:rsid w:val="00336C1F"/>
    <w:rsid w:val="0034031E"/>
    <w:rsid w:val="0034377E"/>
    <w:rsid w:val="00343AD2"/>
    <w:rsid w:val="00344FD4"/>
    <w:rsid w:val="00347237"/>
    <w:rsid w:val="0035521A"/>
    <w:rsid w:val="00361B25"/>
    <w:rsid w:val="00364C80"/>
    <w:rsid w:val="00364CC5"/>
    <w:rsid w:val="00375353"/>
    <w:rsid w:val="00380470"/>
    <w:rsid w:val="00385AF3"/>
    <w:rsid w:val="0039061E"/>
    <w:rsid w:val="003925AA"/>
    <w:rsid w:val="003A218E"/>
    <w:rsid w:val="003A3B04"/>
    <w:rsid w:val="003A3E64"/>
    <w:rsid w:val="003A4E73"/>
    <w:rsid w:val="003B3DB2"/>
    <w:rsid w:val="003B537B"/>
    <w:rsid w:val="003B6E54"/>
    <w:rsid w:val="003D2425"/>
    <w:rsid w:val="003D6DE4"/>
    <w:rsid w:val="003E0A0A"/>
    <w:rsid w:val="003E0DEA"/>
    <w:rsid w:val="003E4325"/>
    <w:rsid w:val="003E4AC2"/>
    <w:rsid w:val="003E6943"/>
    <w:rsid w:val="003E6EC4"/>
    <w:rsid w:val="003F26BE"/>
    <w:rsid w:val="003F2BDC"/>
    <w:rsid w:val="003F2C51"/>
    <w:rsid w:val="003F407D"/>
    <w:rsid w:val="0040094C"/>
    <w:rsid w:val="004045A2"/>
    <w:rsid w:val="00406726"/>
    <w:rsid w:val="00407650"/>
    <w:rsid w:val="00413B7D"/>
    <w:rsid w:val="00415A7A"/>
    <w:rsid w:val="004212EC"/>
    <w:rsid w:val="004228CE"/>
    <w:rsid w:val="004272E6"/>
    <w:rsid w:val="00433599"/>
    <w:rsid w:val="00443FF3"/>
    <w:rsid w:val="00444AB6"/>
    <w:rsid w:val="00445640"/>
    <w:rsid w:val="00454CE2"/>
    <w:rsid w:val="00457DC5"/>
    <w:rsid w:val="00463C8D"/>
    <w:rsid w:val="00464AEA"/>
    <w:rsid w:val="004663BC"/>
    <w:rsid w:val="004666F2"/>
    <w:rsid w:val="00467620"/>
    <w:rsid w:val="00475495"/>
    <w:rsid w:val="00475F09"/>
    <w:rsid w:val="004940C4"/>
    <w:rsid w:val="00494DAD"/>
    <w:rsid w:val="004A08F4"/>
    <w:rsid w:val="004A3AF1"/>
    <w:rsid w:val="004A7FCB"/>
    <w:rsid w:val="004B31F9"/>
    <w:rsid w:val="004B3811"/>
    <w:rsid w:val="004B6EFC"/>
    <w:rsid w:val="004C0905"/>
    <w:rsid w:val="004E37CD"/>
    <w:rsid w:val="004F4FFD"/>
    <w:rsid w:val="00500AC4"/>
    <w:rsid w:val="00522CBE"/>
    <w:rsid w:val="005231F3"/>
    <w:rsid w:val="00531B8A"/>
    <w:rsid w:val="005331AA"/>
    <w:rsid w:val="00534875"/>
    <w:rsid w:val="0055056F"/>
    <w:rsid w:val="0055324A"/>
    <w:rsid w:val="005641D8"/>
    <w:rsid w:val="00565AD9"/>
    <w:rsid w:val="00580F07"/>
    <w:rsid w:val="00592603"/>
    <w:rsid w:val="00594217"/>
    <w:rsid w:val="00595EE6"/>
    <w:rsid w:val="00597AF9"/>
    <w:rsid w:val="005A1376"/>
    <w:rsid w:val="005A4098"/>
    <w:rsid w:val="005A59B8"/>
    <w:rsid w:val="005A6CA5"/>
    <w:rsid w:val="005B1218"/>
    <w:rsid w:val="005C084E"/>
    <w:rsid w:val="005C5DB8"/>
    <w:rsid w:val="005D18B1"/>
    <w:rsid w:val="005D1DFB"/>
    <w:rsid w:val="005D5EA4"/>
    <w:rsid w:val="005D633D"/>
    <w:rsid w:val="005E0149"/>
    <w:rsid w:val="005E4E44"/>
    <w:rsid w:val="005E4EF5"/>
    <w:rsid w:val="005F45F9"/>
    <w:rsid w:val="00602BF9"/>
    <w:rsid w:val="00604449"/>
    <w:rsid w:val="00604572"/>
    <w:rsid w:val="006132D2"/>
    <w:rsid w:val="006137A3"/>
    <w:rsid w:val="00614EBC"/>
    <w:rsid w:val="00617EEB"/>
    <w:rsid w:val="00631F37"/>
    <w:rsid w:val="00634342"/>
    <w:rsid w:val="006357F1"/>
    <w:rsid w:val="00637858"/>
    <w:rsid w:val="00655E3C"/>
    <w:rsid w:val="00660494"/>
    <w:rsid w:val="00663763"/>
    <w:rsid w:val="00666114"/>
    <w:rsid w:val="00672556"/>
    <w:rsid w:val="006750D2"/>
    <w:rsid w:val="00676A83"/>
    <w:rsid w:val="00677D7A"/>
    <w:rsid w:val="0068017A"/>
    <w:rsid w:val="0068113B"/>
    <w:rsid w:val="00685684"/>
    <w:rsid w:val="00687B43"/>
    <w:rsid w:val="00696C67"/>
    <w:rsid w:val="00697E4D"/>
    <w:rsid w:val="006A0FA4"/>
    <w:rsid w:val="006B0A47"/>
    <w:rsid w:val="006B533E"/>
    <w:rsid w:val="006B66E0"/>
    <w:rsid w:val="006B7F1F"/>
    <w:rsid w:val="006C19E2"/>
    <w:rsid w:val="006C2A2E"/>
    <w:rsid w:val="006C36A9"/>
    <w:rsid w:val="006C6995"/>
    <w:rsid w:val="006D29E6"/>
    <w:rsid w:val="006D3F8D"/>
    <w:rsid w:val="006D5142"/>
    <w:rsid w:val="006D571F"/>
    <w:rsid w:val="006F2D02"/>
    <w:rsid w:val="006F4A19"/>
    <w:rsid w:val="006F6359"/>
    <w:rsid w:val="007002E2"/>
    <w:rsid w:val="00706133"/>
    <w:rsid w:val="00715A56"/>
    <w:rsid w:val="00717418"/>
    <w:rsid w:val="007224E8"/>
    <w:rsid w:val="00732B6D"/>
    <w:rsid w:val="00733571"/>
    <w:rsid w:val="00733D13"/>
    <w:rsid w:val="007367A7"/>
    <w:rsid w:val="007401D3"/>
    <w:rsid w:val="00746470"/>
    <w:rsid w:val="00750FB6"/>
    <w:rsid w:val="00752F3C"/>
    <w:rsid w:val="0077320B"/>
    <w:rsid w:val="00773F0A"/>
    <w:rsid w:val="0077779F"/>
    <w:rsid w:val="00780629"/>
    <w:rsid w:val="0078643C"/>
    <w:rsid w:val="007A7432"/>
    <w:rsid w:val="007B13A4"/>
    <w:rsid w:val="007B3063"/>
    <w:rsid w:val="007B51F6"/>
    <w:rsid w:val="007C51E7"/>
    <w:rsid w:val="007C5B0B"/>
    <w:rsid w:val="007D3930"/>
    <w:rsid w:val="007D5893"/>
    <w:rsid w:val="007D6DD2"/>
    <w:rsid w:val="007E0369"/>
    <w:rsid w:val="007E57A4"/>
    <w:rsid w:val="00813DEC"/>
    <w:rsid w:val="00815864"/>
    <w:rsid w:val="008159F2"/>
    <w:rsid w:val="008168D0"/>
    <w:rsid w:val="00825D75"/>
    <w:rsid w:val="00826A24"/>
    <w:rsid w:val="00826A72"/>
    <w:rsid w:val="00827328"/>
    <w:rsid w:val="008359AB"/>
    <w:rsid w:val="00840012"/>
    <w:rsid w:val="00840B88"/>
    <w:rsid w:val="00841818"/>
    <w:rsid w:val="00843114"/>
    <w:rsid w:val="00850293"/>
    <w:rsid w:val="00855D2B"/>
    <w:rsid w:val="008572FF"/>
    <w:rsid w:val="0086367E"/>
    <w:rsid w:val="0087269A"/>
    <w:rsid w:val="008746E8"/>
    <w:rsid w:val="0087532A"/>
    <w:rsid w:val="00876238"/>
    <w:rsid w:val="008841CA"/>
    <w:rsid w:val="0089468D"/>
    <w:rsid w:val="008A209B"/>
    <w:rsid w:val="008A74E5"/>
    <w:rsid w:val="008A785B"/>
    <w:rsid w:val="008B2A98"/>
    <w:rsid w:val="008C2933"/>
    <w:rsid w:val="008C4E71"/>
    <w:rsid w:val="008D2C4F"/>
    <w:rsid w:val="008D51E9"/>
    <w:rsid w:val="008D59CF"/>
    <w:rsid w:val="008D62C9"/>
    <w:rsid w:val="008E7C0E"/>
    <w:rsid w:val="008F4A0D"/>
    <w:rsid w:val="0090121D"/>
    <w:rsid w:val="009028D7"/>
    <w:rsid w:val="00902EBB"/>
    <w:rsid w:val="0090526F"/>
    <w:rsid w:val="009055E8"/>
    <w:rsid w:val="009123CD"/>
    <w:rsid w:val="00926230"/>
    <w:rsid w:val="00927060"/>
    <w:rsid w:val="00933757"/>
    <w:rsid w:val="00934BFE"/>
    <w:rsid w:val="00942E07"/>
    <w:rsid w:val="00944B8C"/>
    <w:rsid w:val="00944E6A"/>
    <w:rsid w:val="00950EAE"/>
    <w:rsid w:val="009531C2"/>
    <w:rsid w:val="00955556"/>
    <w:rsid w:val="009601FA"/>
    <w:rsid w:val="009639CE"/>
    <w:rsid w:val="009712B9"/>
    <w:rsid w:val="00975A0E"/>
    <w:rsid w:val="00976578"/>
    <w:rsid w:val="009865B7"/>
    <w:rsid w:val="009919AE"/>
    <w:rsid w:val="00992FDD"/>
    <w:rsid w:val="0099520E"/>
    <w:rsid w:val="009959B8"/>
    <w:rsid w:val="009A0A8A"/>
    <w:rsid w:val="009A0AAF"/>
    <w:rsid w:val="009B6849"/>
    <w:rsid w:val="009C3363"/>
    <w:rsid w:val="009C3D66"/>
    <w:rsid w:val="009C620B"/>
    <w:rsid w:val="009C72CE"/>
    <w:rsid w:val="009D2F5B"/>
    <w:rsid w:val="009D5597"/>
    <w:rsid w:val="009D7D7F"/>
    <w:rsid w:val="009E0849"/>
    <w:rsid w:val="009E0A37"/>
    <w:rsid w:val="009E1ED7"/>
    <w:rsid w:val="009E234E"/>
    <w:rsid w:val="009E4BAD"/>
    <w:rsid w:val="009F0C5D"/>
    <w:rsid w:val="009F5063"/>
    <w:rsid w:val="009F5BB7"/>
    <w:rsid w:val="009F5E1B"/>
    <w:rsid w:val="009F6389"/>
    <w:rsid w:val="00A03D64"/>
    <w:rsid w:val="00A1259E"/>
    <w:rsid w:val="00A15BF0"/>
    <w:rsid w:val="00A206DA"/>
    <w:rsid w:val="00A3660C"/>
    <w:rsid w:val="00A41E91"/>
    <w:rsid w:val="00A42FDF"/>
    <w:rsid w:val="00A45522"/>
    <w:rsid w:val="00A46F45"/>
    <w:rsid w:val="00A472B1"/>
    <w:rsid w:val="00A56A62"/>
    <w:rsid w:val="00A640E4"/>
    <w:rsid w:val="00A82509"/>
    <w:rsid w:val="00A82A65"/>
    <w:rsid w:val="00A97AD8"/>
    <w:rsid w:val="00AA0BF1"/>
    <w:rsid w:val="00AA12C7"/>
    <w:rsid w:val="00AB3039"/>
    <w:rsid w:val="00AB456D"/>
    <w:rsid w:val="00AB5528"/>
    <w:rsid w:val="00AC4668"/>
    <w:rsid w:val="00AC625E"/>
    <w:rsid w:val="00AD5F9B"/>
    <w:rsid w:val="00AE560B"/>
    <w:rsid w:val="00AE651A"/>
    <w:rsid w:val="00AF215B"/>
    <w:rsid w:val="00B00B96"/>
    <w:rsid w:val="00B069EE"/>
    <w:rsid w:val="00B10FA0"/>
    <w:rsid w:val="00B1300D"/>
    <w:rsid w:val="00B131A7"/>
    <w:rsid w:val="00B169B0"/>
    <w:rsid w:val="00B301DF"/>
    <w:rsid w:val="00B33CA0"/>
    <w:rsid w:val="00B37F7C"/>
    <w:rsid w:val="00B405AD"/>
    <w:rsid w:val="00B422B9"/>
    <w:rsid w:val="00B451B1"/>
    <w:rsid w:val="00B539B9"/>
    <w:rsid w:val="00B5653F"/>
    <w:rsid w:val="00B64BE9"/>
    <w:rsid w:val="00B710EE"/>
    <w:rsid w:val="00B7358F"/>
    <w:rsid w:val="00B75D54"/>
    <w:rsid w:val="00B80AFD"/>
    <w:rsid w:val="00B826D6"/>
    <w:rsid w:val="00B87BBB"/>
    <w:rsid w:val="00B905F9"/>
    <w:rsid w:val="00B939E4"/>
    <w:rsid w:val="00B93FAA"/>
    <w:rsid w:val="00BA2823"/>
    <w:rsid w:val="00BA3D15"/>
    <w:rsid w:val="00BA4E1B"/>
    <w:rsid w:val="00BA70EE"/>
    <w:rsid w:val="00BA7E6A"/>
    <w:rsid w:val="00BC10F0"/>
    <w:rsid w:val="00BD1EB9"/>
    <w:rsid w:val="00BD20CF"/>
    <w:rsid w:val="00BE4B69"/>
    <w:rsid w:val="00BF05AE"/>
    <w:rsid w:val="00BF444A"/>
    <w:rsid w:val="00BF6604"/>
    <w:rsid w:val="00C02FE9"/>
    <w:rsid w:val="00C110AD"/>
    <w:rsid w:val="00C14C77"/>
    <w:rsid w:val="00C15B4F"/>
    <w:rsid w:val="00C25BB7"/>
    <w:rsid w:val="00C26749"/>
    <w:rsid w:val="00C2795D"/>
    <w:rsid w:val="00C31C53"/>
    <w:rsid w:val="00C34806"/>
    <w:rsid w:val="00C52A75"/>
    <w:rsid w:val="00C64B76"/>
    <w:rsid w:val="00C6629F"/>
    <w:rsid w:val="00C70B3C"/>
    <w:rsid w:val="00C753B7"/>
    <w:rsid w:val="00C81D3C"/>
    <w:rsid w:val="00C83CC4"/>
    <w:rsid w:val="00C87AF1"/>
    <w:rsid w:val="00C90802"/>
    <w:rsid w:val="00C919D4"/>
    <w:rsid w:val="00C92FCC"/>
    <w:rsid w:val="00C95497"/>
    <w:rsid w:val="00CB57A6"/>
    <w:rsid w:val="00CC7EEF"/>
    <w:rsid w:val="00CC7F39"/>
    <w:rsid w:val="00CD7FDB"/>
    <w:rsid w:val="00CE4DA9"/>
    <w:rsid w:val="00CE5592"/>
    <w:rsid w:val="00CE5750"/>
    <w:rsid w:val="00CE66B4"/>
    <w:rsid w:val="00CF2EE9"/>
    <w:rsid w:val="00CF49A9"/>
    <w:rsid w:val="00D01C94"/>
    <w:rsid w:val="00D0728E"/>
    <w:rsid w:val="00D12F8F"/>
    <w:rsid w:val="00D1757B"/>
    <w:rsid w:val="00D22C8C"/>
    <w:rsid w:val="00D35452"/>
    <w:rsid w:val="00D37AE2"/>
    <w:rsid w:val="00D410CE"/>
    <w:rsid w:val="00D51C9E"/>
    <w:rsid w:val="00D53AC9"/>
    <w:rsid w:val="00D569F0"/>
    <w:rsid w:val="00D6070D"/>
    <w:rsid w:val="00D61234"/>
    <w:rsid w:val="00D63D80"/>
    <w:rsid w:val="00D76547"/>
    <w:rsid w:val="00D843F8"/>
    <w:rsid w:val="00D84DF1"/>
    <w:rsid w:val="00D85C82"/>
    <w:rsid w:val="00D94118"/>
    <w:rsid w:val="00DA08D1"/>
    <w:rsid w:val="00DA1467"/>
    <w:rsid w:val="00DA3A35"/>
    <w:rsid w:val="00DA7B50"/>
    <w:rsid w:val="00DB1095"/>
    <w:rsid w:val="00DB2FE6"/>
    <w:rsid w:val="00DB4624"/>
    <w:rsid w:val="00DC0306"/>
    <w:rsid w:val="00DC481F"/>
    <w:rsid w:val="00DD1B9E"/>
    <w:rsid w:val="00DD4EAD"/>
    <w:rsid w:val="00DD79AD"/>
    <w:rsid w:val="00DE451D"/>
    <w:rsid w:val="00DE7A94"/>
    <w:rsid w:val="00DF198B"/>
    <w:rsid w:val="00DF1BAF"/>
    <w:rsid w:val="00DF665B"/>
    <w:rsid w:val="00E01352"/>
    <w:rsid w:val="00E04BDE"/>
    <w:rsid w:val="00E05EDD"/>
    <w:rsid w:val="00E23F5F"/>
    <w:rsid w:val="00E249FC"/>
    <w:rsid w:val="00E31171"/>
    <w:rsid w:val="00E3484C"/>
    <w:rsid w:val="00E36B89"/>
    <w:rsid w:val="00E4490B"/>
    <w:rsid w:val="00E449FC"/>
    <w:rsid w:val="00E46EA7"/>
    <w:rsid w:val="00E573A6"/>
    <w:rsid w:val="00E62CF4"/>
    <w:rsid w:val="00E64675"/>
    <w:rsid w:val="00E70E49"/>
    <w:rsid w:val="00E716D3"/>
    <w:rsid w:val="00E82405"/>
    <w:rsid w:val="00E847DA"/>
    <w:rsid w:val="00E901F3"/>
    <w:rsid w:val="00E9610B"/>
    <w:rsid w:val="00E962F7"/>
    <w:rsid w:val="00EA1D81"/>
    <w:rsid w:val="00EA2317"/>
    <w:rsid w:val="00EA3460"/>
    <w:rsid w:val="00EA5921"/>
    <w:rsid w:val="00EA6119"/>
    <w:rsid w:val="00EA6B85"/>
    <w:rsid w:val="00EB2953"/>
    <w:rsid w:val="00EB73EE"/>
    <w:rsid w:val="00EC2434"/>
    <w:rsid w:val="00EC66AE"/>
    <w:rsid w:val="00EE4A5B"/>
    <w:rsid w:val="00EE5CFF"/>
    <w:rsid w:val="00EE5E06"/>
    <w:rsid w:val="00EE748D"/>
    <w:rsid w:val="00EE78C3"/>
    <w:rsid w:val="00F1415E"/>
    <w:rsid w:val="00F15222"/>
    <w:rsid w:val="00F275A0"/>
    <w:rsid w:val="00F31E9E"/>
    <w:rsid w:val="00F32AF3"/>
    <w:rsid w:val="00F340C4"/>
    <w:rsid w:val="00F440F8"/>
    <w:rsid w:val="00F44508"/>
    <w:rsid w:val="00F44D39"/>
    <w:rsid w:val="00F50949"/>
    <w:rsid w:val="00F52042"/>
    <w:rsid w:val="00F52F3B"/>
    <w:rsid w:val="00F54602"/>
    <w:rsid w:val="00F54703"/>
    <w:rsid w:val="00F72075"/>
    <w:rsid w:val="00F83306"/>
    <w:rsid w:val="00F8380A"/>
    <w:rsid w:val="00F87CB0"/>
    <w:rsid w:val="00F973F0"/>
    <w:rsid w:val="00FA40B7"/>
    <w:rsid w:val="00FB1194"/>
    <w:rsid w:val="00FB1483"/>
    <w:rsid w:val="00FB39D2"/>
    <w:rsid w:val="00FB59D3"/>
    <w:rsid w:val="00FC270B"/>
    <w:rsid w:val="00FC7252"/>
    <w:rsid w:val="00FD6A19"/>
    <w:rsid w:val="00FD6C20"/>
    <w:rsid w:val="00FE145D"/>
    <w:rsid w:val="00FF15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C6A889"/>
  <w15:docId w15:val="{80CEF800-FBD1-45C4-A0A0-7D6E3BCC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663BC"/>
    <w:pPr>
      <w:keepNext/>
      <w:keepLines/>
      <w:spacing w:after="240"/>
      <w:jc w:val="center"/>
      <w:outlineLvl w:val="0"/>
    </w:pPr>
    <w:rPr>
      <w:rFonts w:ascii="Garamond" w:eastAsiaTheme="majorEastAsia" w:hAnsi="Garamond" w:cstheme="majorBidi"/>
      <w:caps/>
      <w:color w:val="00206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94"/>
    <w:pPr>
      <w:tabs>
        <w:tab w:val="center" w:pos="4320"/>
        <w:tab w:val="right" w:pos="8640"/>
      </w:tabs>
    </w:pPr>
  </w:style>
  <w:style w:type="character" w:customStyle="1" w:styleId="HeaderChar">
    <w:name w:val="Header Char"/>
    <w:basedOn w:val="DefaultParagraphFont"/>
    <w:link w:val="Header"/>
    <w:uiPriority w:val="99"/>
    <w:rsid w:val="00D01C94"/>
    <w:rPr>
      <w:sz w:val="24"/>
      <w:szCs w:val="24"/>
    </w:rPr>
  </w:style>
  <w:style w:type="paragraph" w:styleId="Footer">
    <w:name w:val="footer"/>
    <w:basedOn w:val="Normal"/>
    <w:link w:val="FooterChar"/>
    <w:uiPriority w:val="99"/>
    <w:unhideWhenUsed/>
    <w:rsid w:val="00D01C94"/>
    <w:pPr>
      <w:tabs>
        <w:tab w:val="center" w:pos="4320"/>
        <w:tab w:val="right" w:pos="8640"/>
      </w:tabs>
    </w:pPr>
  </w:style>
  <w:style w:type="character" w:customStyle="1" w:styleId="FooterChar">
    <w:name w:val="Footer Char"/>
    <w:basedOn w:val="DefaultParagraphFont"/>
    <w:link w:val="Footer"/>
    <w:uiPriority w:val="99"/>
    <w:rsid w:val="00D01C94"/>
    <w:rPr>
      <w:sz w:val="24"/>
      <w:szCs w:val="24"/>
    </w:rPr>
  </w:style>
  <w:style w:type="paragraph" w:styleId="BalloonText">
    <w:name w:val="Balloon Text"/>
    <w:basedOn w:val="Normal"/>
    <w:link w:val="BalloonTextChar"/>
    <w:uiPriority w:val="99"/>
    <w:semiHidden/>
    <w:unhideWhenUsed/>
    <w:rsid w:val="00D01C94"/>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C94"/>
    <w:rPr>
      <w:rFonts w:ascii="Lucida Grande" w:hAnsi="Lucida Grande"/>
      <w:sz w:val="18"/>
      <w:szCs w:val="18"/>
    </w:rPr>
  </w:style>
  <w:style w:type="character" w:styleId="Hyperlink">
    <w:name w:val="Hyperlink"/>
    <w:basedOn w:val="DefaultParagraphFont"/>
    <w:uiPriority w:val="99"/>
    <w:unhideWhenUsed/>
    <w:rsid w:val="00D01C94"/>
    <w:rPr>
      <w:color w:val="0000FF"/>
      <w:u w:val="single"/>
    </w:rPr>
  </w:style>
  <w:style w:type="paragraph" w:styleId="ListParagraph">
    <w:name w:val="List Paragraph"/>
    <w:aliases w:val="Bullet List,FooterText,List Paragraph1"/>
    <w:basedOn w:val="Normal"/>
    <w:link w:val="ListParagraphChar"/>
    <w:uiPriority w:val="34"/>
    <w:qFormat/>
    <w:rsid w:val="008359AB"/>
    <w:pPr>
      <w:ind w:left="720"/>
      <w:contextualSpacing/>
    </w:pPr>
  </w:style>
  <w:style w:type="paragraph" w:styleId="PlainText">
    <w:name w:val="Plain Text"/>
    <w:basedOn w:val="Normal"/>
    <w:link w:val="PlainTextChar"/>
    <w:uiPriority w:val="99"/>
    <w:unhideWhenUsed/>
    <w:rsid w:val="006D29E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6D29E6"/>
    <w:rPr>
      <w:rFonts w:ascii="Calibri" w:eastAsiaTheme="minorHAnsi" w:hAnsi="Calibri" w:cs="Calibri"/>
      <w:sz w:val="22"/>
      <w:szCs w:val="22"/>
      <w:lang w:eastAsia="en-US"/>
    </w:rPr>
  </w:style>
  <w:style w:type="paragraph" w:styleId="FootnoteText">
    <w:name w:val="footnote text"/>
    <w:basedOn w:val="Normal"/>
    <w:link w:val="FootnoteTextChar"/>
    <w:uiPriority w:val="99"/>
    <w:unhideWhenUsed/>
    <w:rsid w:val="00750FB6"/>
    <w:rPr>
      <w:rFonts w:ascii="Times New Roman" w:eastAsia="Calibri" w:hAnsi="Times New Roman"/>
      <w:sz w:val="20"/>
      <w:szCs w:val="20"/>
      <w:lang w:eastAsia="en-US"/>
    </w:rPr>
  </w:style>
  <w:style w:type="character" w:customStyle="1" w:styleId="FootnoteTextChar">
    <w:name w:val="Footnote Text Char"/>
    <w:basedOn w:val="DefaultParagraphFont"/>
    <w:link w:val="FootnoteText"/>
    <w:uiPriority w:val="99"/>
    <w:rsid w:val="00750FB6"/>
    <w:rPr>
      <w:rFonts w:ascii="Times New Roman" w:eastAsia="Calibri" w:hAnsi="Times New Roman"/>
      <w:lang w:eastAsia="en-US"/>
    </w:rPr>
  </w:style>
  <w:style w:type="character" w:styleId="FootnoteReference">
    <w:name w:val="footnote reference"/>
    <w:basedOn w:val="DefaultParagraphFont"/>
    <w:uiPriority w:val="99"/>
    <w:semiHidden/>
    <w:unhideWhenUsed/>
    <w:rsid w:val="00750FB6"/>
    <w:rPr>
      <w:vertAlign w:val="superscript"/>
    </w:rPr>
  </w:style>
  <w:style w:type="character" w:customStyle="1" w:styleId="Heading1Char">
    <w:name w:val="Heading 1 Char"/>
    <w:basedOn w:val="DefaultParagraphFont"/>
    <w:link w:val="Heading1"/>
    <w:uiPriority w:val="9"/>
    <w:rsid w:val="004663BC"/>
    <w:rPr>
      <w:rFonts w:ascii="Garamond" w:eastAsiaTheme="majorEastAsia" w:hAnsi="Garamond" w:cstheme="majorBidi"/>
      <w:caps/>
      <w:color w:val="002060"/>
      <w:sz w:val="32"/>
      <w:szCs w:val="32"/>
      <w:lang w:eastAsia="en-US"/>
    </w:rPr>
  </w:style>
  <w:style w:type="character" w:customStyle="1" w:styleId="ListParagraphChar">
    <w:name w:val="List Paragraph Char"/>
    <w:aliases w:val="Bullet List Char,FooterText Char,List Paragraph1 Char"/>
    <w:basedOn w:val="DefaultParagraphFont"/>
    <w:link w:val="ListParagraph"/>
    <w:uiPriority w:val="34"/>
    <w:rsid w:val="004663BC"/>
    <w:rPr>
      <w:sz w:val="24"/>
      <w:szCs w:val="24"/>
    </w:rPr>
  </w:style>
  <w:style w:type="character" w:customStyle="1" w:styleId="calibri16">
    <w:name w:val="calibri_16"/>
    <w:basedOn w:val="DefaultParagraphFont"/>
    <w:rsid w:val="00B7358F"/>
  </w:style>
  <w:style w:type="character" w:customStyle="1" w:styleId="20ava0gfdrbrqwpriimv3b">
    <w:name w:val="_20ava0gfdrbrqwpriimv3b"/>
    <w:basedOn w:val="DefaultParagraphFont"/>
    <w:rsid w:val="0089468D"/>
  </w:style>
  <w:style w:type="paragraph" w:customStyle="1" w:styleId="Default">
    <w:name w:val="Default"/>
    <w:rsid w:val="00BE4B6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685684"/>
    <w:pPr>
      <w:contextualSpacing/>
    </w:pPr>
    <w:rPr>
      <w:rFonts w:ascii="Times New Roman" w:eastAsiaTheme="minorHAns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3565">
      <w:bodyDiv w:val="1"/>
      <w:marLeft w:val="0"/>
      <w:marRight w:val="0"/>
      <w:marTop w:val="0"/>
      <w:marBottom w:val="0"/>
      <w:divBdr>
        <w:top w:val="none" w:sz="0" w:space="0" w:color="auto"/>
        <w:left w:val="none" w:sz="0" w:space="0" w:color="auto"/>
        <w:bottom w:val="none" w:sz="0" w:space="0" w:color="auto"/>
        <w:right w:val="none" w:sz="0" w:space="0" w:color="auto"/>
      </w:divBdr>
    </w:div>
    <w:div w:id="305474600">
      <w:bodyDiv w:val="1"/>
      <w:marLeft w:val="0"/>
      <w:marRight w:val="0"/>
      <w:marTop w:val="0"/>
      <w:marBottom w:val="0"/>
      <w:divBdr>
        <w:top w:val="none" w:sz="0" w:space="0" w:color="auto"/>
        <w:left w:val="none" w:sz="0" w:space="0" w:color="auto"/>
        <w:bottom w:val="none" w:sz="0" w:space="0" w:color="auto"/>
        <w:right w:val="none" w:sz="0" w:space="0" w:color="auto"/>
      </w:divBdr>
    </w:div>
    <w:div w:id="341708812">
      <w:bodyDiv w:val="1"/>
      <w:marLeft w:val="0"/>
      <w:marRight w:val="0"/>
      <w:marTop w:val="0"/>
      <w:marBottom w:val="0"/>
      <w:divBdr>
        <w:top w:val="none" w:sz="0" w:space="0" w:color="auto"/>
        <w:left w:val="none" w:sz="0" w:space="0" w:color="auto"/>
        <w:bottom w:val="none" w:sz="0" w:space="0" w:color="auto"/>
        <w:right w:val="none" w:sz="0" w:space="0" w:color="auto"/>
      </w:divBdr>
    </w:div>
    <w:div w:id="481317810">
      <w:bodyDiv w:val="1"/>
      <w:marLeft w:val="0"/>
      <w:marRight w:val="0"/>
      <w:marTop w:val="0"/>
      <w:marBottom w:val="0"/>
      <w:divBdr>
        <w:top w:val="none" w:sz="0" w:space="0" w:color="auto"/>
        <w:left w:val="none" w:sz="0" w:space="0" w:color="auto"/>
        <w:bottom w:val="none" w:sz="0" w:space="0" w:color="auto"/>
        <w:right w:val="none" w:sz="0" w:space="0" w:color="auto"/>
      </w:divBdr>
    </w:div>
    <w:div w:id="532769412">
      <w:bodyDiv w:val="1"/>
      <w:marLeft w:val="0"/>
      <w:marRight w:val="0"/>
      <w:marTop w:val="0"/>
      <w:marBottom w:val="0"/>
      <w:divBdr>
        <w:top w:val="none" w:sz="0" w:space="0" w:color="auto"/>
        <w:left w:val="none" w:sz="0" w:space="0" w:color="auto"/>
        <w:bottom w:val="none" w:sz="0" w:space="0" w:color="auto"/>
        <w:right w:val="none" w:sz="0" w:space="0" w:color="auto"/>
      </w:divBdr>
    </w:div>
    <w:div w:id="625046441">
      <w:bodyDiv w:val="1"/>
      <w:marLeft w:val="0"/>
      <w:marRight w:val="0"/>
      <w:marTop w:val="0"/>
      <w:marBottom w:val="0"/>
      <w:divBdr>
        <w:top w:val="none" w:sz="0" w:space="0" w:color="auto"/>
        <w:left w:val="none" w:sz="0" w:space="0" w:color="auto"/>
        <w:bottom w:val="none" w:sz="0" w:space="0" w:color="auto"/>
        <w:right w:val="none" w:sz="0" w:space="0" w:color="auto"/>
      </w:divBdr>
    </w:div>
    <w:div w:id="951858310">
      <w:bodyDiv w:val="1"/>
      <w:marLeft w:val="0"/>
      <w:marRight w:val="0"/>
      <w:marTop w:val="0"/>
      <w:marBottom w:val="0"/>
      <w:divBdr>
        <w:top w:val="none" w:sz="0" w:space="0" w:color="auto"/>
        <w:left w:val="none" w:sz="0" w:space="0" w:color="auto"/>
        <w:bottom w:val="none" w:sz="0" w:space="0" w:color="auto"/>
        <w:right w:val="none" w:sz="0" w:space="0" w:color="auto"/>
      </w:divBdr>
    </w:div>
    <w:div w:id="989401116">
      <w:bodyDiv w:val="1"/>
      <w:marLeft w:val="0"/>
      <w:marRight w:val="0"/>
      <w:marTop w:val="0"/>
      <w:marBottom w:val="0"/>
      <w:divBdr>
        <w:top w:val="none" w:sz="0" w:space="0" w:color="auto"/>
        <w:left w:val="none" w:sz="0" w:space="0" w:color="auto"/>
        <w:bottom w:val="none" w:sz="0" w:space="0" w:color="auto"/>
        <w:right w:val="none" w:sz="0" w:space="0" w:color="auto"/>
      </w:divBdr>
    </w:div>
    <w:div w:id="1371765123">
      <w:bodyDiv w:val="1"/>
      <w:marLeft w:val="0"/>
      <w:marRight w:val="0"/>
      <w:marTop w:val="0"/>
      <w:marBottom w:val="0"/>
      <w:divBdr>
        <w:top w:val="none" w:sz="0" w:space="0" w:color="auto"/>
        <w:left w:val="none" w:sz="0" w:space="0" w:color="auto"/>
        <w:bottom w:val="none" w:sz="0" w:space="0" w:color="auto"/>
        <w:right w:val="none" w:sz="0" w:space="0" w:color="auto"/>
      </w:divBdr>
    </w:div>
    <w:div w:id="1541282101">
      <w:bodyDiv w:val="1"/>
      <w:marLeft w:val="0"/>
      <w:marRight w:val="0"/>
      <w:marTop w:val="0"/>
      <w:marBottom w:val="0"/>
      <w:divBdr>
        <w:top w:val="none" w:sz="0" w:space="0" w:color="auto"/>
        <w:left w:val="none" w:sz="0" w:space="0" w:color="auto"/>
        <w:bottom w:val="none" w:sz="0" w:space="0" w:color="auto"/>
        <w:right w:val="none" w:sz="0" w:space="0" w:color="auto"/>
      </w:divBdr>
    </w:div>
    <w:div w:id="1692486097">
      <w:bodyDiv w:val="1"/>
      <w:marLeft w:val="0"/>
      <w:marRight w:val="0"/>
      <w:marTop w:val="0"/>
      <w:marBottom w:val="0"/>
      <w:divBdr>
        <w:top w:val="none" w:sz="0" w:space="0" w:color="auto"/>
        <w:left w:val="none" w:sz="0" w:space="0" w:color="auto"/>
        <w:bottom w:val="none" w:sz="0" w:space="0" w:color="auto"/>
        <w:right w:val="none" w:sz="0" w:space="0" w:color="auto"/>
      </w:divBdr>
    </w:div>
    <w:div w:id="1728915468">
      <w:bodyDiv w:val="1"/>
      <w:marLeft w:val="0"/>
      <w:marRight w:val="0"/>
      <w:marTop w:val="0"/>
      <w:marBottom w:val="0"/>
      <w:divBdr>
        <w:top w:val="none" w:sz="0" w:space="0" w:color="auto"/>
        <w:left w:val="none" w:sz="0" w:space="0" w:color="auto"/>
        <w:bottom w:val="none" w:sz="0" w:space="0" w:color="auto"/>
        <w:right w:val="none" w:sz="0" w:space="0" w:color="auto"/>
      </w:divBdr>
    </w:div>
    <w:div w:id="1786581563">
      <w:bodyDiv w:val="1"/>
      <w:marLeft w:val="0"/>
      <w:marRight w:val="0"/>
      <w:marTop w:val="0"/>
      <w:marBottom w:val="0"/>
      <w:divBdr>
        <w:top w:val="none" w:sz="0" w:space="0" w:color="auto"/>
        <w:left w:val="none" w:sz="0" w:space="0" w:color="auto"/>
        <w:bottom w:val="none" w:sz="0" w:space="0" w:color="auto"/>
        <w:right w:val="none" w:sz="0" w:space="0" w:color="auto"/>
      </w:divBdr>
    </w:div>
    <w:div w:id="1828353426">
      <w:bodyDiv w:val="1"/>
      <w:marLeft w:val="0"/>
      <w:marRight w:val="0"/>
      <w:marTop w:val="0"/>
      <w:marBottom w:val="0"/>
      <w:divBdr>
        <w:top w:val="none" w:sz="0" w:space="0" w:color="auto"/>
        <w:left w:val="none" w:sz="0" w:space="0" w:color="auto"/>
        <w:bottom w:val="none" w:sz="0" w:space="0" w:color="auto"/>
        <w:right w:val="none" w:sz="0" w:space="0" w:color="auto"/>
      </w:divBdr>
    </w:div>
    <w:div w:id="1924216541">
      <w:bodyDiv w:val="1"/>
      <w:marLeft w:val="0"/>
      <w:marRight w:val="0"/>
      <w:marTop w:val="0"/>
      <w:marBottom w:val="0"/>
      <w:divBdr>
        <w:top w:val="none" w:sz="0" w:space="0" w:color="auto"/>
        <w:left w:val="none" w:sz="0" w:space="0" w:color="auto"/>
        <w:bottom w:val="none" w:sz="0" w:space="0" w:color="auto"/>
        <w:right w:val="none" w:sz="0" w:space="0" w:color="auto"/>
      </w:divBdr>
    </w:div>
    <w:div w:id="1959795870">
      <w:bodyDiv w:val="1"/>
      <w:marLeft w:val="0"/>
      <w:marRight w:val="0"/>
      <w:marTop w:val="0"/>
      <w:marBottom w:val="0"/>
      <w:divBdr>
        <w:top w:val="none" w:sz="0" w:space="0" w:color="auto"/>
        <w:left w:val="none" w:sz="0" w:space="0" w:color="auto"/>
        <w:bottom w:val="none" w:sz="0" w:space="0" w:color="auto"/>
        <w:right w:val="none" w:sz="0" w:space="0" w:color="auto"/>
      </w:divBdr>
    </w:div>
    <w:div w:id="2013949136">
      <w:bodyDiv w:val="1"/>
      <w:marLeft w:val="0"/>
      <w:marRight w:val="0"/>
      <w:marTop w:val="0"/>
      <w:marBottom w:val="0"/>
      <w:divBdr>
        <w:top w:val="none" w:sz="0" w:space="0" w:color="auto"/>
        <w:left w:val="none" w:sz="0" w:space="0" w:color="auto"/>
        <w:bottom w:val="none" w:sz="0" w:space="0" w:color="auto"/>
        <w:right w:val="none" w:sz="0" w:space="0" w:color="auto"/>
      </w:divBdr>
    </w:div>
    <w:div w:id="2067147956">
      <w:bodyDiv w:val="1"/>
      <w:marLeft w:val="0"/>
      <w:marRight w:val="0"/>
      <w:marTop w:val="0"/>
      <w:marBottom w:val="0"/>
      <w:divBdr>
        <w:top w:val="none" w:sz="0" w:space="0" w:color="auto"/>
        <w:left w:val="none" w:sz="0" w:space="0" w:color="auto"/>
        <w:bottom w:val="none" w:sz="0" w:space="0" w:color="auto"/>
        <w:right w:val="none" w:sz="0" w:space="0" w:color="auto"/>
      </w:divBdr>
    </w:div>
    <w:div w:id="2118525427">
      <w:bodyDiv w:val="1"/>
      <w:marLeft w:val="0"/>
      <w:marRight w:val="0"/>
      <w:marTop w:val="0"/>
      <w:marBottom w:val="0"/>
      <w:divBdr>
        <w:top w:val="none" w:sz="0" w:space="0" w:color="auto"/>
        <w:left w:val="none" w:sz="0" w:space="0" w:color="auto"/>
        <w:bottom w:val="none" w:sz="0" w:space="0" w:color="auto"/>
        <w:right w:val="none" w:sz="0" w:space="0" w:color="auto"/>
      </w:divBdr>
    </w:div>
    <w:div w:id="212022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estaurantsAc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5408FDB182F4C8BEA4A0943496152" ma:contentTypeVersion="12" ma:contentTypeDescription="Create a new document." ma:contentTypeScope="" ma:versionID="12f9302909fb5f6596c4f206cae1904a">
  <xsd:schema xmlns:xsd="http://www.w3.org/2001/XMLSchema" xmlns:xs="http://www.w3.org/2001/XMLSchema" xmlns:p="http://schemas.microsoft.com/office/2006/metadata/properties" xmlns:ns2="670ae7cf-2779-4335-b55d-ddf3266fd9bb" xmlns:ns3="d9905d2b-a45b-4f19-8572-4568a650575a" targetNamespace="http://schemas.microsoft.com/office/2006/metadata/properties" ma:root="true" ma:fieldsID="02bea14389d13bd06a170dd0c1a8c702" ns2:_="" ns3:_="">
    <xsd:import namespace="670ae7cf-2779-4335-b55d-ddf3266fd9bb"/>
    <xsd:import namespace="d9905d2b-a45b-4f19-8572-4568a65057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e7cf-2779-4335-b55d-ddf3266fd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05d2b-a45b-4f19-8572-4568a65057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F9752-87B7-4F3E-BED6-0D46592E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e7cf-2779-4335-b55d-ddf3266fd9bb"/>
    <ds:schemaRef ds:uri="d9905d2b-a45b-4f19-8572-4568a65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481EC-A965-433B-B35A-31D32948F9E1}">
  <ds:schemaRefs>
    <ds:schemaRef ds:uri="http://schemas.openxmlformats.org/officeDocument/2006/bibliography"/>
  </ds:schemaRefs>
</ds:datastoreItem>
</file>

<file path=customXml/itemProps3.xml><?xml version="1.0" encoding="utf-8"?>
<ds:datastoreItem xmlns:ds="http://schemas.openxmlformats.org/officeDocument/2006/customXml" ds:itemID="{6A010696-E513-41B9-984E-4A8D372533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6036B-CADC-437F-87F5-16F2F5AB4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Restaurant Association DC Letterhead</vt:lpstr>
    </vt:vector>
  </TitlesOfParts>
  <Company>National Restaurant Association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Restaurant Association DC Letterhead</dc:title>
  <dc:subject/>
  <dc:creator>Tim Smith</dc:creator>
  <cp:keywords/>
  <dc:description/>
  <cp:lastModifiedBy>Steve Clark</cp:lastModifiedBy>
  <cp:revision>2</cp:revision>
  <cp:lastPrinted>2020-06-16T18:27:00Z</cp:lastPrinted>
  <dcterms:created xsi:type="dcterms:W3CDTF">2021-03-08T18:33:00Z</dcterms:created>
  <dcterms:modified xsi:type="dcterms:W3CDTF">2021-03-08T18:33:00Z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0x0101006035408FDB182F4C8BEA4A0943496152</vt:lpwstr>
  </property>
</Properties>
</file>