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5321" w14:textId="792C83A4" w:rsidR="009E4049" w:rsidRPr="009E4049" w:rsidRDefault="009E4049" w:rsidP="009E4049">
      <w:bookmarkStart w:id="0" w:name="_Hlk39150016"/>
      <w:bookmarkEnd w:id="0"/>
      <w:r>
        <w:rPr>
          <w:sz w:val="32"/>
          <w:szCs w:val="32"/>
        </w:rPr>
        <w:t xml:space="preserve">Pervious Concrete </w:t>
      </w:r>
      <w:r w:rsidRPr="009E4049">
        <w:rPr>
          <w:sz w:val="32"/>
          <w:szCs w:val="32"/>
        </w:rPr>
        <w:t>Quality Control</w:t>
      </w:r>
      <w:r w:rsidR="00EF7431">
        <w:rPr>
          <w:sz w:val="32"/>
          <w:szCs w:val="32"/>
        </w:rPr>
        <w:t>-</w:t>
      </w:r>
      <w:r w:rsidRPr="009E4049">
        <w:rPr>
          <w:sz w:val="32"/>
          <w:szCs w:val="32"/>
        </w:rPr>
        <w:t>Quality Assurance Plan</w:t>
      </w:r>
      <w:r>
        <w:rPr>
          <w:sz w:val="32"/>
          <w:szCs w:val="32"/>
        </w:rPr>
        <w:br/>
      </w:r>
      <w:r>
        <w:t xml:space="preserve">(Found </w:t>
      </w:r>
      <w:r w:rsidR="00D73160">
        <w:t xml:space="preserve">in </w:t>
      </w:r>
      <w:r>
        <w:t>Handbook for Pervious Concrete in Greater Kansas City, Chapter 5)</w:t>
      </w:r>
    </w:p>
    <w:p w14:paraId="3933E5F1" w14:textId="77777777" w:rsidR="009E4049" w:rsidRPr="009E4049" w:rsidRDefault="009E4049" w:rsidP="009E40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>Hold Pre-Bid Meeting</w:t>
      </w:r>
    </w:p>
    <w:p w14:paraId="170916EF" w14:textId="77777777" w:rsidR="009E4049" w:rsidRPr="009E4049" w:rsidRDefault="009E4049" w:rsidP="009E40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>Emphasize everything should be performed in accordance to the specification. Have a copy of the spec at the meeting and someone who understands and knows the content present.</w:t>
      </w:r>
    </w:p>
    <w:p w14:paraId="52C19422" w14:textId="77777777" w:rsidR="009E4049" w:rsidRPr="009E4049" w:rsidRDefault="009E4049" w:rsidP="009E40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>Qualify Bidders</w:t>
      </w:r>
    </w:p>
    <w:p w14:paraId="675CB6DD" w14:textId="77777777" w:rsidR="009E4049" w:rsidRPr="009E4049" w:rsidRDefault="009E4049" w:rsidP="009E40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 xml:space="preserve">Ready Mix Certified? </w:t>
      </w:r>
      <w:proofErr w:type="gramStart"/>
      <w:r w:rsidRPr="009E4049">
        <w:rPr>
          <w:sz w:val="20"/>
          <w:szCs w:val="20"/>
        </w:rPr>
        <w:t>Past experience</w:t>
      </w:r>
      <w:proofErr w:type="gramEnd"/>
      <w:r w:rsidRPr="009E4049">
        <w:rPr>
          <w:sz w:val="20"/>
          <w:szCs w:val="20"/>
        </w:rPr>
        <w:t>? Projects?</w:t>
      </w:r>
    </w:p>
    <w:p w14:paraId="6AE0264E" w14:textId="77777777" w:rsidR="009E4049" w:rsidRPr="009E4049" w:rsidRDefault="009E4049" w:rsidP="009E40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 xml:space="preserve">Contractor Certified? </w:t>
      </w:r>
      <w:proofErr w:type="gramStart"/>
      <w:r w:rsidRPr="009E4049">
        <w:rPr>
          <w:sz w:val="20"/>
          <w:szCs w:val="20"/>
        </w:rPr>
        <w:t>Past experience</w:t>
      </w:r>
      <w:proofErr w:type="gramEnd"/>
      <w:r w:rsidRPr="009E4049">
        <w:rPr>
          <w:sz w:val="20"/>
          <w:szCs w:val="20"/>
        </w:rPr>
        <w:t>? Projects?</w:t>
      </w:r>
    </w:p>
    <w:p w14:paraId="342A7F5D" w14:textId="77777777" w:rsidR="009E4049" w:rsidRPr="009E4049" w:rsidRDefault="009E4049" w:rsidP="009E40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>Field Testing Personnel Certified? Know and understand the ASTM tests for Pervious Concrete?</w:t>
      </w:r>
    </w:p>
    <w:p w14:paraId="5D64E488" w14:textId="77777777" w:rsidR="009E4049" w:rsidRPr="009E4049" w:rsidRDefault="009E4049" w:rsidP="009E40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>Hold Pre-Construction Conference</w:t>
      </w:r>
    </w:p>
    <w:p w14:paraId="02A015C5" w14:textId="77777777" w:rsidR="009E4049" w:rsidRPr="009E4049" w:rsidRDefault="009E4049" w:rsidP="009E40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>Use the Pre-Con Checklist as a starting place</w:t>
      </w:r>
    </w:p>
    <w:p w14:paraId="526FCA4E" w14:textId="77777777" w:rsidR="009E4049" w:rsidRPr="009E4049" w:rsidRDefault="009E4049" w:rsidP="009E40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 xml:space="preserve">Build </w:t>
      </w:r>
      <w:proofErr w:type="gramStart"/>
      <w:r w:rsidRPr="009E4049">
        <w:rPr>
          <w:sz w:val="20"/>
          <w:szCs w:val="20"/>
        </w:rPr>
        <w:t>Mock up</w:t>
      </w:r>
      <w:proofErr w:type="gramEnd"/>
      <w:r w:rsidRPr="009E4049">
        <w:rPr>
          <w:sz w:val="20"/>
          <w:szCs w:val="20"/>
        </w:rPr>
        <w:t xml:space="preserve"> in accordance with the specification</w:t>
      </w:r>
    </w:p>
    <w:p w14:paraId="25B104D5" w14:textId="77777777" w:rsidR="009E4049" w:rsidRPr="009E4049" w:rsidRDefault="009E4049" w:rsidP="009E40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>Same mix design and same contractor team placing as on placement day</w:t>
      </w:r>
    </w:p>
    <w:p w14:paraId="1313187A" w14:textId="77777777" w:rsidR="009E4049" w:rsidRPr="009E4049" w:rsidRDefault="009E4049" w:rsidP="009E40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>Test for Density-Unit Weight, ASTM C1688</w:t>
      </w:r>
    </w:p>
    <w:p w14:paraId="5E9EC388" w14:textId="77777777" w:rsidR="009E4049" w:rsidRPr="009E4049" w:rsidRDefault="009E4049" w:rsidP="009E40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>Test for Hardened Density, 3 cores, ASTM C1754</w:t>
      </w:r>
    </w:p>
    <w:p w14:paraId="0BC00FA0" w14:textId="77777777" w:rsidR="009E4049" w:rsidRPr="009E4049" w:rsidRDefault="009E4049" w:rsidP="009E40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>Test for Infiltration, ASTM C1701</w:t>
      </w:r>
    </w:p>
    <w:p w14:paraId="62243115" w14:textId="77777777" w:rsidR="009E4049" w:rsidRPr="009E4049" w:rsidRDefault="009E4049" w:rsidP="009E40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 xml:space="preserve">Does the data meet expectations?  How does the slab look?  </w:t>
      </w:r>
    </w:p>
    <w:p w14:paraId="217BE92B" w14:textId="77777777" w:rsidR="009E4049" w:rsidRPr="009E4049" w:rsidRDefault="009E4049" w:rsidP="009E40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>Placement Day</w:t>
      </w:r>
    </w:p>
    <w:p w14:paraId="29ACD7BC" w14:textId="77777777" w:rsidR="009E4049" w:rsidRPr="009E4049" w:rsidRDefault="009E4049" w:rsidP="009E40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 xml:space="preserve">Test every truck for density-unit weight, ASTM C 1688.  Within the parameters </w:t>
      </w:r>
      <w:r w:rsidRPr="009E4049">
        <w:rPr>
          <w:sz w:val="20"/>
          <w:szCs w:val="20"/>
          <w:u w:val="single"/>
        </w:rPr>
        <w:t>+</w:t>
      </w:r>
      <w:r w:rsidRPr="009E4049">
        <w:rPr>
          <w:sz w:val="20"/>
          <w:szCs w:val="20"/>
        </w:rPr>
        <w:t xml:space="preserve">3 </w:t>
      </w:r>
      <w:proofErr w:type="spellStart"/>
      <w:r w:rsidRPr="009E4049">
        <w:rPr>
          <w:sz w:val="20"/>
          <w:szCs w:val="20"/>
        </w:rPr>
        <w:t>lbs</w:t>
      </w:r>
      <w:proofErr w:type="spellEnd"/>
      <w:r w:rsidRPr="009E4049">
        <w:rPr>
          <w:sz w:val="20"/>
          <w:szCs w:val="20"/>
        </w:rPr>
        <w:t xml:space="preserve"> of the unit weight from accepted test slab?</w:t>
      </w:r>
    </w:p>
    <w:p w14:paraId="66DD1B37" w14:textId="77777777" w:rsidR="009E4049" w:rsidRPr="009E4049" w:rsidRDefault="009E4049" w:rsidP="009E40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>Curing</w:t>
      </w:r>
    </w:p>
    <w:p w14:paraId="4B69F79A" w14:textId="77777777" w:rsidR="009E4049" w:rsidRPr="009E4049" w:rsidRDefault="009E4049" w:rsidP="009E40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>Spray cure within 5-10 minutes behind the screed, then cover with poly immediately</w:t>
      </w:r>
    </w:p>
    <w:p w14:paraId="3B4CBAFE" w14:textId="77777777" w:rsidR="009E4049" w:rsidRPr="009E4049" w:rsidRDefault="009E4049" w:rsidP="009E40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 xml:space="preserve">When using an internal curing choice an alternate curing compound conforming to ASTM C309 may be used instead of </w:t>
      </w:r>
      <w:proofErr w:type="gramStart"/>
      <w:r w:rsidRPr="009E4049">
        <w:rPr>
          <w:sz w:val="20"/>
          <w:szCs w:val="20"/>
        </w:rPr>
        <w:t>soy bean</w:t>
      </w:r>
      <w:proofErr w:type="gramEnd"/>
      <w:r w:rsidRPr="009E4049">
        <w:rPr>
          <w:sz w:val="20"/>
          <w:szCs w:val="20"/>
        </w:rPr>
        <w:t xml:space="preserve"> oil. </w:t>
      </w:r>
      <w:proofErr w:type="gramStart"/>
      <w:r w:rsidRPr="009E4049">
        <w:rPr>
          <w:sz w:val="20"/>
          <w:szCs w:val="20"/>
        </w:rPr>
        <w:t>Soy bean</w:t>
      </w:r>
      <w:proofErr w:type="gramEnd"/>
      <w:r w:rsidRPr="009E4049">
        <w:rPr>
          <w:sz w:val="20"/>
          <w:szCs w:val="20"/>
        </w:rPr>
        <w:t xml:space="preserve"> oil made for curing pervious has been extremely successful, as well as new internal curing options (SAP &amp; lightweight aggregate).</w:t>
      </w:r>
    </w:p>
    <w:p w14:paraId="09AE7945" w14:textId="77777777" w:rsidR="009E4049" w:rsidRPr="009E4049" w:rsidRDefault="009E4049" w:rsidP="009E40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>Post Curing Period</w:t>
      </w:r>
    </w:p>
    <w:p w14:paraId="056EFB20" w14:textId="77777777" w:rsidR="009E4049" w:rsidRPr="009E4049" w:rsidRDefault="009E4049" w:rsidP="009E40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4049">
        <w:rPr>
          <w:sz w:val="20"/>
          <w:szCs w:val="20"/>
        </w:rPr>
        <w:t xml:space="preserve">ASTM C1754, 3 cores for every 5, 000 sf (hardened density must be within </w:t>
      </w:r>
      <w:r w:rsidRPr="009E4049">
        <w:rPr>
          <w:sz w:val="20"/>
          <w:szCs w:val="20"/>
          <w:u w:val="single"/>
        </w:rPr>
        <w:t>+</w:t>
      </w:r>
      <w:r w:rsidRPr="009E4049">
        <w:rPr>
          <w:sz w:val="20"/>
          <w:szCs w:val="20"/>
        </w:rPr>
        <w:t xml:space="preserve">5% of the accepted hardened density from the </w:t>
      </w:r>
      <w:proofErr w:type="gramStart"/>
      <w:r w:rsidRPr="009E4049">
        <w:rPr>
          <w:sz w:val="20"/>
          <w:szCs w:val="20"/>
        </w:rPr>
        <w:t>mock up</w:t>
      </w:r>
      <w:proofErr w:type="gramEnd"/>
      <w:r w:rsidRPr="009E4049">
        <w:rPr>
          <w:sz w:val="20"/>
          <w:szCs w:val="20"/>
        </w:rPr>
        <w:t>)</w:t>
      </w:r>
    </w:p>
    <w:p w14:paraId="0DA4B0CD" w14:textId="77777777" w:rsidR="009E4049" w:rsidRPr="009E4049" w:rsidRDefault="009E4049" w:rsidP="009E4049">
      <w:pPr>
        <w:pStyle w:val="ListParagraph"/>
        <w:numPr>
          <w:ilvl w:val="1"/>
          <w:numId w:val="1"/>
        </w:numPr>
        <w:spacing w:before="240"/>
        <w:rPr>
          <w:sz w:val="20"/>
          <w:szCs w:val="20"/>
        </w:rPr>
      </w:pPr>
      <w:r w:rsidRPr="009E4049">
        <w:rPr>
          <w:sz w:val="20"/>
          <w:szCs w:val="20"/>
        </w:rPr>
        <w:t xml:space="preserve">ASTM C1701, 3 infiltration tests for every 5,000 sf. This is not a pass/fail test.  </w:t>
      </w:r>
      <w:proofErr w:type="gramStart"/>
      <w:r w:rsidRPr="009E4049">
        <w:rPr>
          <w:sz w:val="20"/>
          <w:szCs w:val="20"/>
        </w:rPr>
        <w:t>It’s</w:t>
      </w:r>
      <w:proofErr w:type="gramEnd"/>
      <w:r w:rsidRPr="009E4049">
        <w:rPr>
          <w:sz w:val="20"/>
          <w:szCs w:val="20"/>
        </w:rPr>
        <w:t xml:space="preserve"> a subjective test, but history has shown us in KC to look for somewhere between 250 to 750 in/hr.</w:t>
      </w:r>
    </w:p>
    <w:p w14:paraId="021F6877" w14:textId="77777777" w:rsidR="009E4049" w:rsidRPr="009E4049" w:rsidRDefault="009E4049" w:rsidP="009E4049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9E4049">
        <w:rPr>
          <w:sz w:val="20"/>
          <w:szCs w:val="20"/>
        </w:rPr>
        <w:t>ASTM Tests Specifically for Pervious Concrete (as of June 2017):</w:t>
      </w:r>
    </w:p>
    <w:p w14:paraId="09F7555B" w14:textId="77777777" w:rsidR="009E4049" w:rsidRPr="009E4049" w:rsidRDefault="009E4049" w:rsidP="009E4049">
      <w:pPr>
        <w:pStyle w:val="ListParagraph"/>
        <w:numPr>
          <w:ilvl w:val="1"/>
          <w:numId w:val="1"/>
        </w:numPr>
        <w:spacing w:before="240"/>
        <w:ind w:right="-810"/>
        <w:rPr>
          <w:sz w:val="20"/>
          <w:szCs w:val="20"/>
        </w:rPr>
      </w:pPr>
      <w:r w:rsidRPr="009E4049">
        <w:rPr>
          <w:sz w:val="20"/>
          <w:szCs w:val="20"/>
        </w:rPr>
        <w:t>ASTM C1688 Standard Test Method for Density &amp; Void Content of Freshly Mixed Pervious Concrete</w:t>
      </w:r>
    </w:p>
    <w:p w14:paraId="70923968" w14:textId="77777777" w:rsidR="009E4049" w:rsidRPr="009E4049" w:rsidRDefault="009E4049" w:rsidP="009E4049">
      <w:pPr>
        <w:pStyle w:val="ListParagraph"/>
        <w:numPr>
          <w:ilvl w:val="1"/>
          <w:numId w:val="1"/>
        </w:numPr>
        <w:spacing w:before="240"/>
        <w:ind w:right="-810"/>
        <w:rPr>
          <w:sz w:val="20"/>
          <w:szCs w:val="20"/>
        </w:rPr>
      </w:pPr>
      <w:r w:rsidRPr="009E4049">
        <w:rPr>
          <w:sz w:val="20"/>
          <w:szCs w:val="20"/>
        </w:rPr>
        <w:t>ASTM C 1701 Standard Test Method for Infiltration Rate of In Place Pervious Concrete</w:t>
      </w:r>
    </w:p>
    <w:p w14:paraId="34B14834" w14:textId="77777777" w:rsidR="009E4049" w:rsidRPr="009E4049" w:rsidRDefault="009E4049" w:rsidP="009E4049">
      <w:pPr>
        <w:pStyle w:val="ListParagraph"/>
        <w:numPr>
          <w:ilvl w:val="1"/>
          <w:numId w:val="1"/>
        </w:numPr>
        <w:spacing w:before="240"/>
        <w:ind w:right="-810"/>
        <w:rPr>
          <w:sz w:val="20"/>
          <w:szCs w:val="20"/>
        </w:rPr>
      </w:pPr>
      <w:r w:rsidRPr="009E4049">
        <w:rPr>
          <w:sz w:val="20"/>
          <w:szCs w:val="20"/>
        </w:rPr>
        <w:t>ASTM C 1754 Standard Test Method for Density &amp; Void Content of Hardened Pervious Concrete</w:t>
      </w:r>
    </w:p>
    <w:p w14:paraId="102BC025" w14:textId="77777777" w:rsidR="009E4049" w:rsidRPr="009E4049" w:rsidRDefault="009E4049" w:rsidP="009E4049">
      <w:pPr>
        <w:pStyle w:val="ListParagraph"/>
        <w:numPr>
          <w:ilvl w:val="1"/>
          <w:numId w:val="1"/>
        </w:numPr>
        <w:spacing w:before="240"/>
        <w:ind w:right="-810"/>
        <w:rPr>
          <w:sz w:val="20"/>
          <w:szCs w:val="20"/>
        </w:rPr>
      </w:pPr>
      <w:r w:rsidRPr="009E4049">
        <w:rPr>
          <w:sz w:val="20"/>
          <w:szCs w:val="20"/>
        </w:rPr>
        <w:t>ASTM C 1747 Standard Test Method for Determining the Potential Surface Durability of Pervious Concrete</w:t>
      </w:r>
    </w:p>
    <w:p w14:paraId="79770954" w14:textId="62C7FF71" w:rsidR="009E4049" w:rsidRDefault="009E4049" w:rsidP="009E4049">
      <w:pPr>
        <w:pStyle w:val="ListParagraph"/>
        <w:numPr>
          <w:ilvl w:val="1"/>
          <w:numId w:val="1"/>
        </w:numPr>
        <w:spacing w:before="240"/>
        <w:ind w:right="-810"/>
        <w:rPr>
          <w:sz w:val="20"/>
          <w:szCs w:val="20"/>
        </w:rPr>
      </w:pPr>
      <w:r w:rsidRPr="009E4049">
        <w:rPr>
          <w:sz w:val="20"/>
          <w:szCs w:val="20"/>
        </w:rPr>
        <w:t>Note there is NO test method for flexural or compressive strength</w:t>
      </w:r>
    </w:p>
    <w:p w14:paraId="2D9F7243" w14:textId="31AEE867" w:rsidR="00BC55B2" w:rsidRDefault="00BC55B2" w:rsidP="00BC55B2">
      <w:pPr>
        <w:spacing w:before="240"/>
        <w:ind w:right="-810"/>
        <w:rPr>
          <w:sz w:val="20"/>
          <w:szCs w:val="20"/>
        </w:rPr>
      </w:pPr>
    </w:p>
    <w:p w14:paraId="1E1687AB" w14:textId="615F7333" w:rsidR="00BC55B2" w:rsidRDefault="00BC55B2" w:rsidP="00BC55B2">
      <w:pPr>
        <w:spacing w:before="240"/>
        <w:ind w:right="-810"/>
        <w:rPr>
          <w:sz w:val="20"/>
          <w:szCs w:val="20"/>
        </w:rPr>
      </w:pPr>
    </w:p>
    <w:p w14:paraId="3EA97263" w14:textId="60148A68" w:rsidR="00945F7E" w:rsidRPr="00BC55B2" w:rsidRDefault="00BC55B2" w:rsidP="00BC55B2">
      <w:pPr>
        <w:spacing w:before="240"/>
        <w:ind w:right="-81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66BECAA" wp14:editId="512610B5">
            <wp:extent cx="1195932" cy="497318"/>
            <wp:effectExtent l="0" t="0" r="444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G w-Text CO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663" cy="52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F7E" w:rsidRPr="00BC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988"/>
    <w:multiLevelType w:val="hybridMultilevel"/>
    <w:tmpl w:val="F7CC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49"/>
    <w:rsid w:val="00141B96"/>
    <w:rsid w:val="00945F7E"/>
    <w:rsid w:val="009E4049"/>
    <w:rsid w:val="00BC55B2"/>
    <w:rsid w:val="00D73160"/>
    <w:rsid w:val="00E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1D9E"/>
  <w15:chartTrackingRefBased/>
  <w15:docId w15:val="{E15DFFBF-76A2-48AB-9706-AB64E1D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0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Christy</cp:lastModifiedBy>
  <cp:revision>3</cp:revision>
  <dcterms:created xsi:type="dcterms:W3CDTF">2020-04-30T19:39:00Z</dcterms:created>
  <dcterms:modified xsi:type="dcterms:W3CDTF">2020-04-30T19:40:00Z</dcterms:modified>
</cp:coreProperties>
</file>