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5F695" w14:textId="2D715B96" w:rsidR="00FF3BA0" w:rsidRDefault="00FF3BA0" w:rsidP="00FF3BA0">
      <w:pPr>
        <w:jc w:val="both"/>
        <w:rPr>
          <w:b/>
          <w:bCs/>
        </w:rPr>
      </w:pPr>
      <w:r w:rsidRPr="006841B3">
        <w:rPr>
          <w:b/>
          <w:bCs/>
        </w:rPr>
        <w:t>CCAO 3-18 Re</w:t>
      </w:r>
      <w:r>
        <w:rPr>
          <w:b/>
          <w:bCs/>
        </w:rPr>
        <w:t>de</w:t>
      </w:r>
      <w:r w:rsidRPr="006841B3">
        <w:rPr>
          <w:b/>
          <w:bCs/>
        </w:rPr>
        <w:t xml:space="preserve">finition </w:t>
      </w:r>
      <w:r>
        <w:rPr>
          <w:b/>
          <w:bCs/>
        </w:rPr>
        <w:t xml:space="preserve">Fact Sheet </w:t>
      </w:r>
    </w:p>
    <w:p w14:paraId="1F51219A" w14:textId="77777777" w:rsidR="009C1B31" w:rsidRDefault="009C1B31"/>
    <w:p w14:paraId="77DE3040" w14:textId="77777777" w:rsidR="00FF3BA0" w:rsidRPr="00FF3BA0" w:rsidRDefault="00FF3BA0">
      <w:pPr>
        <w:rPr>
          <w:b/>
          <w:bCs/>
        </w:rPr>
      </w:pPr>
      <w:r w:rsidRPr="00FF3BA0">
        <w:rPr>
          <w:b/>
          <w:bCs/>
        </w:rPr>
        <w:t xml:space="preserve">What we did: </w:t>
      </w:r>
    </w:p>
    <w:p w14:paraId="23D89E76" w14:textId="77777777" w:rsidR="00FF3BA0" w:rsidRDefault="00FF3BA0" w:rsidP="00FF3BA0">
      <w:pPr>
        <w:jc w:val="both"/>
        <w:rPr>
          <w:i/>
          <w:iCs/>
          <w:sz w:val="24"/>
          <w:szCs w:val="24"/>
        </w:rPr>
      </w:pPr>
      <w:r>
        <w:t xml:space="preserve">Effective March 2023 the definition for class 3-18 is updated to read - </w:t>
      </w:r>
      <w:r w:rsidRPr="00597BEE">
        <w:rPr>
          <w:i/>
          <w:iCs/>
          <w:sz w:val="24"/>
          <w:szCs w:val="24"/>
        </w:rPr>
        <w:t>Mixed-use commercial/residential building with apartment and commercial area totaling 7 units or more or between 20,000 to 99,999 square feet of building area, with the commercial component of the property consisting of no more than 35% of the total rentable square footage</w:t>
      </w:r>
      <w:r>
        <w:rPr>
          <w:i/>
          <w:iCs/>
          <w:sz w:val="24"/>
          <w:szCs w:val="24"/>
        </w:rPr>
        <w:t>.</w:t>
      </w:r>
    </w:p>
    <w:p w14:paraId="73B9DD8C" w14:textId="4843CCD7" w:rsidR="00FF3BA0" w:rsidRDefault="00FF3BA0"/>
    <w:p w14:paraId="281EA369" w14:textId="54763195" w:rsidR="00FF3BA0" w:rsidRPr="00FF3BA0" w:rsidRDefault="00FF3BA0">
      <w:pPr>
        <w:rPr>
          <w:b/>
          <w:bCs/>
        </w:rPr>
      </w:pPr>
      <w:r w:rsidRPr="00FF3BA0">
        <w:rPr>
          <w:b/>
          <w:bCs/>
        </w:rPr>
        <w:t xml:space="preserve">What changed. </w:t>
      </w:r>
    </w:p>
    <w:p w14:paraId="62324329" w14:textId="075B8DA8" w:rsidR="00FF3BA0" w:rsidRDefault="00FF3BA0">
      <w:r>
        <w:t>The new language clearly establishes the criteria needed to qualify for a class 3-18 designation.</w:t>
      </w:r>
    </w:p>
    <w:p w14:paraId="75ED10BD" w14:textId="77777777" w:rsidR="00FF3BA0" w:rsidRDefault="00FF3BA0"/>
    <w:p w14:paraId="331FAB91" w14:textId="77777777" w:rsidR="00FF3BA0" w:rsidRPr="00FF3BA0" w:rsidRDefault="00FF3BA0">
      <w:pPr>
        <w:rPr>
          <w:b/>
          <w:bCs/>
        </w:rPr>
      </w:pPr>
      <w:r w:rsidRPr="00FF3BA0">
        <w:rPr>
          <w:b/>
          <w:bCs/>
        </w:rPr>
        <w:t>Why did we make this change.</w:t>
      </w:r>
    </w:p>
    <w:p w14:paraId="5D152141" w14:textId="0FB69059" w:rsidR="00FF3BA0" w:rsidRDefault="00FF3BA0">
      <w:pPr>
        <w:rPr>
          <w:sz w:val="24"/>
          <w:szCs w:val="24"/>
        </w:rPr>
      </w:pPr>
      <w:r>
        <w:rPr>
          <w:sz w:val="24"/>
          <w:szCs w:val="24"/>
        </w:rPr>
        <w:t xml:space="preserve">The County Ordinance does not adequately define what is a Class 3 property nor does it give criteria on a Class 3 property. The ordinance simply reads – </w:t>
      </w:r>
    </w:p>
    <w:p w14:paraId="021A7C44" w14:textId="69CC5469" w:rsidR="00FF3BA0" w:rsidRDefault="00FF3BA0">
      <w:r w:rsidRPr="0068147E">
        <w:rPr>
          <w:noProof/>
          <w:sz w:val="24"/>
          <w:szCs w:val="24"/>
        </w:rPr>
        <w:drawing>
          <wp:inline distT="0" distB="0" distL="0" distR="0" wp14:anchorId="5ECF352E" wp14:editId="1E6E4C61">
            <wp:extent cx="5943600" cy="257810"/>
            <wp:effectExtent l="19050" t="19050" r="19050" b="27940"/>
            <wp:docPr id="728701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7017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78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46B04A5" w14:textId="1D3F6814" w:rsidR="00FF3BA0" w:rsidRDefault="00FF3BA0">
      <w:pPr>
        <w:rPr>
          <w:sz w:val="24"/>
          <w:szCs w:val="24"/>
        </w:rPr>
      </w:pPr>
      <w:r>
        <w:rPr>
          <w:sz w:val="24"/>
          <w:szCs w:val="24"/>
        </w:rPr>
        <w:t>The ambiguity of the Cook County ordinance and the 3-18 definition prior to the change created uncertainty on what qualified as a 5 class (commercial or industrial) vs class 3-18.</w:t>
      </w:r>
    </w:p>
    <w:p w14:paraId="1DE30044" w14:textId="77777777" w:rsidR="00FF3BA0" w:rsidRDefault="00FF3BA0">
      <w:pPr>
        <w:rPr>
          <w:sz w:val="24"/>
          <w:szCs w:val="24"/>
        </w:rPr>
      </w:pPr>
    </w:p>
    <w:p w14:paraId="56295F9F" w14:textId="33B9DFCD" w:rsidR="00FF3BA0" w:rsidRPr="00FF3BA0" w:rsidRDefault="00FF3BA0">
      <w:pPr>
        <w:rPr>
          <w:b/>
          <w:bCs/>
          <w:sz w:val="24"/>
          <w:szCs w:val="24"/>
        </w:rPr>
      </w:pPr>
      <w:r w:rsidRPr="00FF3BA0">
        <w:rPr>
          <w:b/>
          <w:bCs/>
          <w:sz w:val="24"/>
          <w:szCs w:val="24"/>
        </w:rPr>
        <w:t>Who is impacted?</w:t>
      </w:r>
    </w:p>
    <w:p w14:paraId="1492DDF0" w14:textId="3E227FBD" w:rsidR="00FF3BA0" w:rsidRDefault="00FF3BA0">
      <w:pPr>
        <w:rPr>
          <w:sz w:val="24"/>
          <w:szCs w:val="24"/>
        </w:rPr>
      </w:pPr>
      <w:r>
        <w:rPr>
          <w:sz w:val="24"/>
          <w:szCs w:val="24"/>
        </w:rPr>
        <w:t xml:space="preserve">Any property 20,000-99,000 sqr ft with mixed commercial and residential. </w:t>
      </w:r>
      <w:r w:rsidRPr="007814F9">
        <w:rPr>
          <w:b/>
          <w:bCs/>
          <w:sz w:val="24"/>
          <w:szCs w:val="24"/>
          <w:u w:val="single"/>
        </w:rPr>
        <w:t>If</w:t>
      </w:r>
      <w:r>
        <w:rPr>
          <w:sz w:val="24"/>
          <w:szCs w:val="24"/>
        </w:rPr>
        <w:t xml:space="preserve"> the commercial sqr ft is &gt;35% of total usable sqr footage.</w:t>
      </w:r>
      <w:r w:rsidR="007814F9">
        <w:rPr>
          <w:sz w:val="24"/>
          <w:szCs w:val="24"/>
        </w:rPr>
        <w:t xml:space="preserve"> Properties that are impacted will be split classed, meaning the residential and commercial </w:t>
      </w:r>
      <w:r w:rsidR="00214B2D">
        <w:rPr>
          <w:sz w:val="24"/>
          <w:szCs w:val="24"/>
        </w:rPr>
        <w:t>portions</w:t>
      </w:r>
      <w:r w:rsidR="007814F9">
        <w:rPr>
          <w:sz w:val="24"/>
          <w:szCs w:val="24"/>
        </w:rPr>
        <w:t xml:space="preserve"> will be split </w:t>
      </w:r>
      <w:r w:rsidR="00214B2D">
        <w:rPr>
          <w:sz w:val="24"/>
          <w:szCs w:val="24"/>
        </w:rPr>
        <w:t xml:space="preserve">on the impacted </w:t>
      </w:r>
      <w:r w:rsidR="007814F9">
        <w:rPr>
          <w:sz w:val="24"/>
          <w:szCs w:val="24"/>
        </w:rPr>
        <w:t xml:space="preserve">PIN. The residential portion will be </w:t>
      </w:r>
      <w:r w:rsidR="00214B2D">
        <w:rPr>
          <w:sz w:val="24"/>
          <w:szCs w:val="24"/>
        </w:rPr>
        <w:t>assessed</w:t>
      </w:r>
      <w:r w:rsidR="007814F9">
        <w:rPr>
          <w:sz w:val="24"/>
          <w:szCs w:val="24"/>
        </w:rPr>
        <w:t xml:space="preserve"> residential, and the commercial portion will be </w:t>
      </w:r>
      <w:r w:rsidR="00214B2D">
        <w:rPr>
          <w:sz w:val="24"/>
          <w:szCs w:val="24"/>
        </w:rPr>
        <w:t>assessed</w:t>
      </w:r>
      <w:r w:rsidR="007814F9">
        <w:rPr>
          <w:sz w:val="24"/>
          <w:szCs w:val="24"/>
        </w:rPr>
        <w:t xml:space="preserve"> commercial.</w:t>
      </w:r>
    </w:p>
    <w:p w14:paraId="0981C9ED" w14:textId="7FE1CD6D" w:rsidR="00FF3BA0" w:rsidRDefault="00FF3BA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976AC60" w14:textId="4D52B4A7" w:rsidR="00FF3BA0" w:rsidRPr="00FF3BA0" w:rsidRDefault="00FF3BA0">
      <w:pPr>
        <w:rPr>
          <w:b/>
          <w:bCs/>
          <w:sz w:val="24"/>
          <w:szCs w:val="24"/>
        </w:rPr>
      </w:pPr>
      <w:r w:rsidRPr="00FF3BA0">
        <w:rPr>
          <w:b/>
          <w:bCs/>
          <w:sz w:val="24"/>
          <w:szCs w:val="24"/>
        </w:rPr>
        <w:t>What about mixed use under 20,000 sqr ft and/or 6</w:t>
      </w:r>
      <w:r w:rsidR="007814F9">
        <w:rPr>
          <w:b/>
          <w:bCs/>
          <w:sz w:val="24"/>
          <w:szCs w:val="24"/>
        </w:rPr>
        <w:t xml:space="preserve"> or less</w:t>
      </w:r>
      <w:r w:rsidRPr="00FF3BA0">
        <w:rPr>
          <w:b/>
          <w:bCs/>
          <w:sz w:val="24"/>
          <w:szCs w:val="24"/>
        </w:rPr>
        <w:t xml:space="preserve"> units.</w:t>
      </w:r>
    </w:p>
    <w:p w14:paraId="05EB6BF7" w14:textId="141F8D5A" w:rsidR="00FF3BA0" w:rsidRDefault="00FF3BA0">
      <w:pPr>
        <w:rPr>
          <w:sz w:val="24"/>
          <w:szCs w:val="24"/>
        </w:rPr>
      </w:pPr>
      <w:r>
        <w:rPr>
          <w:sz w:val="24"/>
          <w:szCs w:val="24"/>
        </w:rPr>
        <w:t>Those properties would be classified as class 2-12 and are unaffected by this change.</w:t>
      </w:r>
    </w:p>
    <w:p w14:paraId="22C920D2" w14:textId="77777777" w:rsidR="00FF3BA0" w:rsidRDefault="00FF3BA0">
      <w:pPr>
        <w:rPr>
          <w:sz w:val="24"/>
          <w:szCs w:val="24"/>
        </w:rPr>
      </w:pPr>
    </w:p>
    <w:p w14:paraId="37F92F28" w14:textId="2F82BCA3" w:rsidR="00FF3BA0" w:rsidRDefault="00FF3BA0">
      <w:pPr>
        <w:rPr>
          <w:sz w:val="24"/>
          <w:szCs w:val="24"/>
        </w:rPr>
      </w:pPr>
      <w:r>
        <w:rPr>
          <w:sz w:val="24"/>
          <w:szCs w:val="24"/>
        </w:rPr>
        <w:t>If you have questions regarding this please contact</w:t>
      </w:r>
    </w:p>
    <w:p w14:paraId="6839E6C1" w14:textId="77777777" w:rsidR="00FF3BA0" w:rsidRDefault="00FF3BA0" w:rsidP="00FF3BA0">
      <w:pPr>
        <w:rPr>
          <w:rFonts w:ascii="Arial" w:hAnsi="Arial" w:cs="Arial"/>
          <w:color w:val="1F3864"/>
        </w:rPr>
      </w:pPr>
      <w:r>
        <w:rPr>
          <w:rFonts w:ascii="Arial" w:hAnsi="Arial" w:cs="Arial"/>
          <w:color w:val="1F3864"/>
        </w:rPr>
        <w:t>John McDonnell</w:t>
      </w:r>
    </w:p>
    <w:p w14:paraId="105658E7" w14:textId="77777777" w:rsidR="00FF3BA0" w:rsidRDefault="00FF3BA0" w:rsidP="00FF3BA0">
      <w:pPr>
        <w:rPr>
          <w:rFonts w:ascii="Arial" w:hAnsi="Arial" w:cs="Arial"/>
          <w:color w:val="1F3864"/>
        </w:rPr>
      </w:pPr>
      <w:r>
        <w:rPr>
          <w:rFonts w:ascii="Arial" w:hAnsi="Arial" w:cs="Arial"/>
          <w:color w:val="1F3864"/>
          <w:sz w:val="20"/>
          <w:szCs w:val="20"/>
        </w:rPr>
        <w:t xml:space="preserve">Director of Multifamily Development </w:t>
      </w:r>
      <w:r>
        <w:rPr>
          <w:rFonts w:ascii="Arial" w:hAnsi="Arial" w:cs="Arial"/>
          <w:color w:val="1F3864"/>
          <w:sz w:val="20"/>
          <w:szCs w:val="20"/>
        </w:rPr>
        <w:br/>
        <w:t>Cook County Assessor’s Office</w:t>
      </w:r>
      <w:r>
        <w:rPr>
          <w:rFonts w:ascii="Arial" w:hAnsi="Arial" w:cs="Arial"/>
          <w:color w:val="1F3864"/>
          <w:sz w:val="20"/>
          <w:szCs w:val="20"/>
        </w:rPr>
        <w:br/>
      </w:r>
      <w:r>
        <w:rPr>
          <w:rFonts w:ascii="Arial" w:hAnsi="Arial" w:cs="Arial"/>
          <w:color w:val="1F3864"/>
          <w:sz w:val="16"/>
          <w:szCs w:val="16"/>
        </w:rPr>
        <w:lastRenderedPageBreak/>
        <w:br/>
      </w:r>
      <w:r>
        <w:rPr>
          <w:rFonts w:ascii="Arial" w:hAnsi="Arial" w:cs="Arial"/>
          <w:color w:val="1F3864"/>
          <w:sz w:val="20"/>
          <w:szCs w:val="20"/>
        </w:rPr>
        <w:t>Phone: (312) 603-3040</w:t>
      </w:r>
      <w:r>
        <w:rPr>
          <w:rFonts w:ascii="Arial" w:hAnsi="Arial" w:cs="Arial"/>
          <w:color w:val="1F3864"/>
          <w:sz w:val="20"/>
          <w:szCs w:val="20"/>
        </w:rPr>
        <w:br/>
        <w:t>Mobile: (708) 413-5412</w:t>
      </w:r>
      <w:r>
        <w:rPr>
          <w:rFonts w:ascii="Arial" w:hAnsi="Arial" w:cs="Arial"/>
          <w:color w:val="1F3864"/>
          <w:sz w:val="20"/>
          <w:szCs w:val="20"/>
        </w:rPr>
        <w:br/>
        <w:t>cookcountyassessor.com</w:t>
      </w:r>
    </w:p>
    <w:p w14:paraId="14172E79" w14:textId="0744D555" w:rsidR="00FF3BA0" w:rsidRDefault="00FF3BA0">
      <w:r>
        <w:t xml:space="preserve">Or </w:t>
      </w:r>
    </w:p>
    <w:p w14:paraId="6FA3C5D2" w14:textId="77777777" w:rsidR="00FF3BA0" w:rsidRDefault="00FF3BA0" w:rsidP="00FF3BA0">
      <w:pPr>
        <w:rPr>
          <w:rFonts w:eastAsiaTheme="minorEastAsia"/>
          <w:noProof/>
        </w:rPr>
      </w:pPr>
      <w:bookmarkStart w:id="0" w:name="_MailAutoSig"/>
      <w:r>
        <w:rPr>
          <w:rFonts w:eastAsiaTheme="minorEastAsia"/>
          <w:noProof/>
        </w:rPr>
        <w:t xml:space="preserve">Erik Harmon </w:t>
      </w:r>
    </w:p>
    <w:p w14:paraId="78E90F68" w14:textId="77777777" w:rsidR="00FF3BA0" w:rsidRDefault="00FF3BA0" w:rsidP="00FF3BA0">
      <w:pPr>
        <w:rPr>
          <w:rFonts w:eastAsiaTheme="minorEastAsia"/>
          <w:noProof/>
        </w:rPr>
      </w:pPr>
      <w:r>
        <w:rPr>
          <w:rFonts w:eastAsiaTheme="minorEastAsia"/>
          <w:noProof/>
        </w:rPr>
        <w:t>Director of Commercial Outreach</w:t>
      </w:r>
    </w:p>
    <w:p w14:paraId="20010E61" w14:textId="77777777" w:rsidR="00FF3BA0" w:rsidRDefault="00FF3BA0" w:rsidP="00FF3BA0">
      <w:pPr>
        <w:rPr>
          <w:rFonts w:eastAsiaTheme="minorEastAsia"/>
          <w:noProof/>
        </w:rPr>
      </w:pPr>
      <w:r>
        <w:rPr>
          <w:rFonts w:eastAsiaTheme="minorEastAsia"/>
          <w:noProof/>
        </w:rPr>
        <w:t>Cook County Assessor’s Office</w:t>
      </w:r>
      <w:r>
        <w:rPr>
          <w:rFonts w:eastAsiaTheme="minorEastAsia"/>
          <w:noProof/>
        </w:rPr>
        <w:br/>
        <w:t>118 N. Clark St., 3</w:t>
      </w:r>
      <w:r>
        <w:rPr>
          <w:rFonts w:eastAsiaTheme="minorEastAsia"/>
          <w:noProof/>
          <w:vertAlign w:val="superscript"/>
        </w:rPr>
        <w:t>rd</w:t>
      </w:r>
      <w:r>
        <w:rPr>
          <w:rFonts w:eastAsiaTheme="minorEastAsia"/>
          <w:noProof/>
        </w:rPr>
        <w:t xml:space="preserve"> Floor</w:t>
      </w:r>
      <w:r>
        <w:rPr>
          <w:rFonts w:eastAsiaTheme="minorEastAsia"/>
          <w:noProof/>
        </w:rPr>
        <w:br/>
        <w:t>Chicago, IL 60602</w:t>
      </w:r>
      <w:r>
        <w:rPr>
          <w:rFonts w:eastAsiaTheme="minorEastAsia"/>
          <w:noProof/>
        </w:rPr>
        <w:br/>
        <w:t>312-603-6015 (office)</w:t>
      </w:r>
    </w:p>
    <w:p w14:paraId="639173FB" w14:textId="77777777" w:rsidR="00FF3BA0" w:rsidRDefault="00FF3BA0" w:rsidP="00FF3BA0">
      <w:pPr>
        <w:rPr>
          <w:rFonts w:eastAsiaTheme="minorEastAsia"/>
          <w:noProof/>
        </w:rPr>
      </w:pPr>
      <w:r>
        <w:rPr>
          <w:rFonts w:eastAsiaTheme="minorEastAsia"/>
          <w:noProof/>
        </w:rPr>
        <w:t>708-413-5411 (cell)</w:t>
      </w:r>
      <w:r>
        <w:rPr>
          <w:rFonts w:eastAsiaTheme="minorEastAsia"/>
          <w:noProof/>
        </w:rPr>
        <w:br/>
        <w:t xml:space="preserve">Twitter: </w:t>
      </w:r>
      <w:hyperlink r:id="rId5" w:history="1">
        <w:r>
          <w:rPr>
            <w:rStyle w:val="Hyperlink"/>
            <w:rFonts w:eastAsiaTheme="minorEastAsia"/>
            <w:noProof/>
            <w:color w:val="0563C1"/>
          </w:rPr>
          <w:t>@AssessorCook</w:t>
        </w:r>
      </w:hyperlink>
      <w:r>
        <w:rPr>
          <w:rFonts w:eastAsiaTheme="minorEastAsia"/>
          <w:noProof/>
        </w:rPr>
        <w:br/>
        <w:t xml:space="preserve">Facebook: </w:t>
      </w:r>
      <w:hyperlink r:id="rId6" w:history="1">
        <w:r>
          <w:rPr>
            <w:rStyle w:val="Hyperlink"/>
            <w:rFonts w:eastAsiaTheme="minorEastAsia"/>
            <w:noProof/>
            <w:color w:val="0563C1"/>
          </w:rPr>
          <w:t>CookCountyAssessorsOffice</w:t>
        </w:r>
      </w:hyperlink>
      <w:bookmarkEnd w:id="0"/>
    </w:p>
    <w:p w14:paraId="28EB9CC3" w14:textId="77777777" w:rsidR="00FF3BA0" w:rsidRDefault="00FF3BA0"/>
    <w:sectPr w:rsidR="00FF3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A0"/>
    <w:rsid w:val="00214B2D"/>
    <w:rsid w:val="007814F9"/>
    <w:rsid w:val="009C1B31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15685"/>
  <w15:chartTrackingRefBased/>
  <w15:docId w15:val="{65499D35-05B2-42FC-8B1C-11EC090D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3B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4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CookCountyAssessorsOffice" TargetMode="External"/><Relationship Id="rId5" Type="http://schemas.openxmlformats.org/officeDocument/2006/relationships/hyperlink" Target="https://twitter.com/AssessorCoo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Harmon</dc:creator>
  <cp:keywords/>
  <dc:description/>
  <cp:lastModifiedBy>Erik Harmon</cp:lastModifiedBy>
  <cp:revision>3</cp:revision>
  <dcterms:created xsi:type="dcterms:W3CDTF">2024-03-27T18:27:00Z</dcterms:created>
  <dcterms:modified xsi:type="dcterms:W3CDTF">2024-03-27T21:05:00Z</dcterms:modified>
</cp:coreProperties>
</file>