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F430" w14:textId="2B375ED5" w:rsidR="0081719B" w:rsidRPr="008D7E34" w:rsidRDefault="007B68CA" w:rsidP="000B72AD">
      <w:pPr>
        <w:spacing w:after="0" w:line="312" w:lineRule="auto"/>
        <w:ind w:right="720"/>
        <w:rPr>
          <w:rFonts w:cstheme="minorHAnsi"/>
          <w:b/>
          <w:bCs/>
          <w:sz w:val="24"/>
          <w:szCs w:val="24"/>
        </w:rPr>
      </w:pPr>
      <w:r w:rsidRPr="008D7E34">
        <w:rPr>
          <w:rFonts w:cstheme="minorHAnsi"/>
          <w:b/>
          <w:bCs/>
          <w:sz w:val="24"/>
          <w:szCs w:val="24"/>
        </w:rPr>
        <w:t xml:space="preserve">Presbytery newsletter </w:t>
      </w:r>
      <w:r w:rsidR="00001D8A" w:rsidRPr="008D7E34">
        <w:rPr>
          <w:rFonts w:cstheme="minorHAnsi"/>
          <w:b/>
          <w:bCs/>
          <w:sz w:val="24"/>
          <w:szCs w:val="24"/>
        </w:rPr>
        <w:t>content from the Board of Pensions</w:t>
      </w:r>
    </w:p>
    <w:p w14:paraId="4F4E09EC" w14:textId="5FB8E023" w:rsidR="007B68CA" w:rsidRDefault="007B68CA" w:rsidP="000B72AD">
      <w:pPr>
        <w:spacing w:after="0" w:line="312" w:lineRule="auto"/>
        <w:ind w:right="720"/>
        <w:rPr>
          <w:rFonts w:cstheme="minorHAnsi"/>
        </w:rPr>
      </w:pPr>
    </w:p>
    <w:p w14:paraId="527B9194" w14:textId="532353B1" w:rsidR="00001D8A" w:rsidRDefault="0018589D" w:rsidP="000B72AD">
      <w:pPr>
        <w:spacing w:after="0" w:line="312" w:lineRule="auto"/>
        <w:ind w:right="720"/>
        <w:rPr>
          <w:rFonts w:cstheme="minorHAnsi"/>
        </w:rPr>
      </w:pPr>
      <w:r>
        <w:rPr>
          <w:noProof/>
        </w:rPr>
        <w:drawing>
          <wp:inline distT="0" distB="0" distL="0" distR="0" wp14:anchorId="0D4E9F1F" wp14:editId="05EFAC31">
            <wp:extent cx="5943600" cy="1221105"/>
            <wp:effectExtent l="0" t="0" r="0" b="0"/>
            <wp:docPr id="6" name="Picture 6"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21105"/>
                    </a:xfrm>
                    <a:prstGeom prst="rect">
                      <a:avLst/>
                    </a:prstGeom>
                  </pic:spPr>
                </pic:pic>
              </a:graphicData>
            </a:graphic>
          </wp:inline>
        </w:drawing>
      </w:r>
    </w:p>
    <w:p w14:paraId="3EC5E207" w14:textId="443889F7" w:rsidR="007B68CA" w:rsidRDefault="0018589D" w:rsidP="00DA7658">
      <w:pPr>
        <w:spacing w:after="0" w:line="312" w:lineRule="auto"/>
        <w:ind w:left="900" w:right="720"/>
        <w:rPr>
          <w:rFonts w:cstheme="minorHAnsi"/>
        </w:rPr>
      </w:pPr>
      <w:r>
        <w:rPr>
          <w:noProof/>
        </w:rPr>
        <w:drawing>
          <wp:inline distT="0" distB="0" distL="0" distR="0" wp14:anchorId="77FD74C4" wp14:editId="5175777E">
            <wp:extent cx="1704975" cy="609600"/>
            <wp:effectExtent l="0" t="0" r="9525" b="0"/>
            <wp:docPr id="2" name="Picture 7" descr="https://image.fidelityinvestments.com/lib/fe8b1570706c0c787c/m/1/logo_fidelity_without_turnhere.gif"/>
            <wp:cNvGraphicFramePr/>
            <a:graphic xmlns:a="http://schemas.openxmlformats.org/drawingml/2006/main">
              <a:graphicData uri="http://schemas.openxmlformats.org/drawingml/2006/picture">
                <pic:pic xmlns:pic="http://schemas.openxmlformats.org/drawingml/2006/picture">
                  <pic:nvPicPr>
                    <pic:cNvPr id="2" name="Picture 7" descr="https://image.fidelityinvestments.com/lib/fe8b1570706c0c787c/m/1/logo_fidelity_without_turnhere.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r>
        <w:rPr>
          <w:rFonts w:cstheme="minorHAnsi"/>
        </w:rPr>
        <w:t xml:space="preserve">    </w:t>
      </w:r>
      <w:r w:rsidR="00DA7658">
        <w:rPr>
          <w:rFonts w:cstheme="minorHAnsi"/>
        </w:rPr>
        <w:t xml:space="preserve">                   </w:t>
      </w:r>
      <w:r>
        <w:rPr>
          <w:rFonts w:cstheme="minorHAnsi"/>
        </w:rPr>
        <w:t xml:space="preserve">  </w:t>
      </w:r>
      <w:r w:rsidR="00DA0EB3" w:rsidRPr="00DA0EB3">
        <w:t xml:space="preserve"> </w:t>
      </w:r>
      <w:r w:rsidR="0027475D">
        <w:rPr>
          <w:noProof/>
        </w:rPr>
        <w:drawing>
          <wp:inline distT="0" distB="0" distL="0" distR="0" wp14:anchorId="47876D24" wp14:editId="637525E3">
            <wp:extent cx="2286000" cy="6429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4349" cy="645286"/>
                    </a:xfrm>
                    <a:prstGeom prst="rect">
                      <a:avLst/>
                    </a:prstGeom>
                    <a:noFill/>
                    <a:ln>
                      <a:noFill/>
                    </a:ln>
                  </pic:spPr>
                </pic:pic>
              </a:graphicData>
            </a:graphic>
          </wp:inline>
        </w:drawing>
      </w:r>
    </w:p>
    <w:p w14:paraId="3AD971AB" w14:textId="77777777" w:rsidR="0018589D" w:rsidRDefault="0018589D" w:rsidP="000B72AD">
      <w:pPr>
        <w:spacing w:after="0" w:line="312" w:lineRule="auto"/>
        <w:ind w:right="720"/>
        <w:rPr>
          <w:rFonts w:cstheme="minorHAnsi"/>
          <w:b/>
          <w:bCs/>
        </w:rPr>
      </w:pPr>
    </w:p>
    <w:p w14:paraId="71111D84" w14:textId="7F73D0DD" w:rsidR="000B72AD" w:rsidRPr="0027475D" w:rsidRDefault="005C08ED" w:rsidP="0027475D">
      <w:pPr>
        <w:spacing w:after="120" w:line="312" w:lineRule="auto"/>
        <w:ind w:right="720"/>
        <w:rPr>
          <w:rFonts w:cstheme="minorHAnsi"/>
          <w:b/>
          <w:bCs/>
          <w:sz w:val="24"/>
          <w:szCs w:val="24"/>
        </w:rPr>
      </w:pPr>
      <w:r w:rsidRPr="0027475D">
        <w:rPr>
          <w:rFonts w:cstheme="minorHAnsi"/>
          <w:b/>
          <w:bCs/>
          <w:sz w:val="24"/>
          <w:szCs w:val="24"/>
        </w:rPr>
        <w:t>What are the top things to do before you retire</w:t>
      </w:r>
      <w:r w:rsidR="00053EB7" w:rsidRPr="0027475D">
        <w:rPr>
          <w:rFonts w:cstheme="minorHAnsi"/>
          <w:b/>
          <w:bCs/>
          <w:sz w:val="24"/>
          <w:szCs w:val="24"/>
        </w:rPr>
        <w:t xml:space="preserve">? </w:t>
      </w:r>
      <w:hyperlink r:id="rId11" w:history="1">
        <w:r w:rsidR="00DD5A81" w:rsidRPr="0027475D">
          <w:rPr>
            <w:rStyle w:val="Hyperlink"/>
            <w:rFonts w:cstheme="minorHAnsi"/>
            <w:b/>
            <w:bCs/>
            <w:sz w:val="24"/>
            <w:szCs w:val="24"/>
          </w:rPr>
          <w:t>Ask Fidelity</w:t>
        </w:r>
      </w:hyperlink>
      <w:r w:rsidR="0076637B" w:rsidRPr="0027475D">
        <w:rPr>
          <w:rFonts w:cstheme="minorHAnsi"/>
          <w:b/>
          <w:bCs/>
          <w:sz w:val="24"/>
          <w:szCs w:val="24"/>
        </w:rPr>
        <w:t>!</w:t>
      </w:r>
    </w:p>
    <w:p w14:paraId="4F0E10E0" w14:textId="180BC204" w:rsidR="009C31BD" w:rsidRDefault="00A13CAD" w:rsidP="0027475D">
      <w:pPr>
        <w:spacing w:after="120"/>
        <w:rPr>
          <w:rFonts w:cstheme="minorHAnsi"/>
        </w:rPr>
      </w:pPr>
      <w:r>
        <w:rPr>
          <w:rFonts w:cstheme="minorHAnsi"/>
        </w:rPr>
        <w:t>Join</w:t>
      </w:r>
      <w:r w:rsidR="00FD6D63">
        <w:rPr>
          <w:rFonts w:cstheme="minorHAnsi"/>
        </w:rPr>
        <w:t xml:space="preserve"> </w:t>
      </w:r>
      <w:r w:rsidR="00FD6D63" w:rsidRPr="007B68CA">
        <w:rPr>
          <w:rFonts w:cstheme="minorHAnsi"/>
        </w:rPr>
        <w:t xml:space="preserve">Fidelity </w:t>
      </w:r>
      <w:r w:rsidR="00FD6D63">
        <w:rPr>
          <w:rFonts w:cstheme="minorHAnsi"/>
        </w:rPr>
        <w:t xml:space="preserve">Workplace Financial Consultant Dan McCarthy for </w:t>
      </w:r>
      <w:r w:rsidR="009C31BD">
        <w:rPr>
          <w:rFonts w:cstheme="minorHAnsi"/>
        </w:rPr>
        <w:t xml:space="preserve">a 30-minute, </w:t>
      </w:r>
      <w:r w:rsidR="008C23DF">
        <w:rPr>
          <w:rFonts w:cstheme="minorHAnsi"/>
        </w:rPr>
        <w:t xml:space="preserve">interactive, </w:t>
      </w:r>
      <w:r w:rsidR="009C31BD">
        <w:rPr>
          <w:rFonts w:cstheme="minorHAnsi"/>
        </w:rPr>
        <w:t>virtual presentation</w:t>
      </w:r>
      <w:r w:rsidR="00FE7AA3">
        <w:rPr>
          <w:rFonts w:cstheme="minorHAnsi"/>
        </w:rPr>
        <w:t xml:space="preserve"> </w:t>
      </w:r>
      <w:r w:rsidR="005C08ED">
        <w:rPr>
          <w:rFonts w:cstheme="minorHAnsi"/>
        </w:rPr>
        <w:t xml:space="preserve">on important things </w:t>
      </w:r>
      <w:r w:rsidR="00FE7AA3">
        <w:rPr>
          <w:rFonts w:cstheme="minorHAnsi"/>
        </w:rPr>
        <w:t xml:space="preserve">to consider </w:t>
      </w:r>
      <w:r w:rsidR="00EF4CEC">
        <w:rPr>
          <w:rFonts w:cstheme="minorHAnsi"/>
        </w:rPr>
        <w:t xml:space="preserve">— </w:t>
      </w:r>
      <w:r w:rsidR="00EF4CEC" w:rsidRPr="00EF4CEC">
        <w:rPr>
          <w:rFonts w:cstheme="minorHAnsi"/>
          <w:i/>
          <w:iCs/>
        </w:rPr>
        <w:t>before</w:t>
      </w:r>
      <w:r w:rsidR="00EF4CEC">
        <w:rPr>
          <w:rFonts w:cstheme="minorHAnsi"/>
        </w:rPr>
        <w:t xml:space="preserve"> you retire — </w:t>
      </w:r>
      <w:r w:rsidR="005C08ED">
        <w:rPr>
          <w:rFonts w:cstheme="minorHAnsi"/>
        </w:rPr>
        <w:t xml:space="preserve">that may impact or influence </w:t>
      </w:r>
      <w:r w:rsidR="00EF4CEC">
        <w:rPr>
          <w:rFonts w:cstheme="minorHAnsi"/>
        </w:rPr>
        <w:t xml:space="preserve">your </w:t>
      </w:r>
      <w:r w:rsidR="005C08ED">
        <w:rPr>
          <w:rFonts w:cstheme="minorHAnsi"/>
        </w:rPr>
        <w:t>financial decisions.</w:t>
      </w:r>
      <w:r w:rsidR="009C31BD">
        <w:rPr>
          <w:rFonts w:cstheme="minorHAnsi"/>
        </w:rPr>
        <w:t xml:space="preserve"> </w:t>
      </w:r>
    </w:p>
    <w:p w14:paraId="468BB198" w14:textId="773A0449" w:rsidR="00FF5A5D" w:rsidRDefault="005C08ED" w:rsidP="0027475D">
      <w:pPr>
        <w:spacing w:after="120"/>
        <w:rPr>
          <w:rFonts w:cstheme="minorHAnsi"/>
        </w:rPr>
      </w:pPr>
      <w:r>
        <w:rPr>
          <w:rFonts w:cstheme="minorHAnsi"/>
          <w:b/>
          <w:bCs/>
        </w:rPr>
        <w:t xml:space="preserve">Top Things </w:t>
      </w:r>
      <w:proofErr w:type="gramStart"/>
      <w:r w:rsidR="00F656C2">
        <w:rPr>
          <w:rFonts w:cstheme="minorHAnsi"/>
          <w:b/>
          <w:bCs/>
        </w:rPr>
        <w:t>T</w:t>
      </w:r>
      <w:r>
        <w:rPr>
          <w:rFonts w:cstheme="minorHAnsi"/>
          <w:b/>
          <w:bCs/>
        </w:rPr>
        <w:t>o</w:t>
      </w:r>
      <w:proofErr w:type="gramEnd"/>
      <w:r>
        <w:rPr>
          <w:rFonts w:cstheme="minorHAnsi"/>
          <w:b/>
          <w:bCs/>
        </w:rPr>
        <w:t xml:space="preserve"> </w:t>
      </w:r>
      <w:r w:rsidR="00F656C2">
        <w:rPr>
          <w:rFonts w:cstheme="minorHAnsi"/>
          <w:b/>
          <w:bCs/>
        </w:rPr>
        <w:t>D</w:t>
      </w:r>
      <w:r>
        <w:rPr>
          <w:rFonts w:cstheme="minorHAnsi"/>
          <w:b/>
          <w:bCs/>
        </w:rPr>
        <w:t>o Before You Retire</w:t>
      </w:r>
      <w:r w:rsidR="00010F37" w:rsidRPr="00DA0EB3">
        <w:rPr>
          <w:rFonts w:cstheme="minorHAnsi"/>
        </w:rPr>
        <w:t>,</w:t>
      </w:r>
      <w:r w:rsidR="00EF4CEC" w:rsidRPr="00EF4CEC">
        <w:rPr>
          <w:rFonts w:cstheme="minorHAnsi"/>
        </w:rPr>
        <w:t xml:space="preserve"> a free</w:t>
      </w:r>
      <w:r w:rsidR="00EF4CEC">
        <w:rPr>
          <w:rFonts w:cstheme="minorHAnsi"/>
        </w:rPr>
        <w:t xml:space="preserve"> webinar from Fidelity Investments (Retirement Savings Plan recordkeeper)</w:t>
      </w:r>
      <w:r w:rsidR="00010F37">
        <w:rPr>
          <w:rFonts w:cstheme="minorHAnsi"/>
        </w:rPr>
        <w:t xml:space="preserve">, </w:t>
      </w:r>
      <w:r w:rsidR="00EF4CEC">
        <w:rPr>
          <w:rFonts w:cstheme="minorHAnsi"/>
        </w:rPr>
        <w:t xml:space="preserve">is designed to help you </w:t>
      </w:r>
      <w:r w:rsidR="00FE7AA3">
        <w:rPr>
          <w:rFonts w:cstheme="minorHAnsi"/>
        </w:rPr>
        <w:t xml:space="preserve">get your financial house in order, create a retirement income plan, understand Social Security, and prepare for the unexpected. </w:t>
      </w:r>
      <w:r w:rsidR="00FF5A5D" w:rsidRPr="006C7602">
        <w:rPr>
          <w:rFonts w:cstheme="minorHAnsi"/>
        </w:rPr>
        <w:t xml:space="preserve">From creating </w:t>
      </w:r>
      <w:r w:rsidR="00EF4CEC">
        <w:rPr>
          <w:rFonts w:cstheme="minorHAnsi"/>
        </w:rPr>
        <w:t xml:space="preserve">your financial blueprint </w:t>
      </w:r>
      <w:r w:rsidR="00A261C6">
        <w:rPr>
          <w:rFonts w:cstheme="minorHAnsi"/>
        </w:rPr>
        <w:t xml:space="preserve">to preparing your estate and legacy plans, Top Things </w:t>
      </w:r>
      <w:proofErr w:type="gramStart"/>
      <w:r w:rsidR="00F656C2">
        <w:rPr>
          <w:rFonts w:cstheme="minorHAnsi"/>
        </w:rPr>
        <w:t>T</w:t>
      </w:r>
      <w:r w:rsidR="00A261C6">
        <w:rPr>
          <w:rFonts w:cstheme="minorHAnsi"/>
        </w:rPr>
        <w:t>o</w:t>
      </w:r>
      <w:proofErr w:type="gramEnd"/>
      <w:r w:rsidR="00A261C6">
        <w:rPr>
          <w:rFonts w:cstheme="minorHAnsi"/>
        </w:rPr>
        <w:t xml:space="preserve"> </w:t>
      </w:r>
      <w:r w:rsidR="00F656C2">
        <w:rPr>
          <w:rFonts w:cstheme="minorHAnsi"/>
        </w:rPr>
        <w:t>D</w:t>
      </w:r>
      <w:r w:rsidR="00A261C6">
        <w:rPr>
          <w:rFonts w:cstheme="minorHAnsi"/>
        </w:rPr>
        <w:t xml:space="preserve">o Before You Retire will offer ideas and resources to take the next </w:t>
      </w:r>
      <w:r w:rsidR="00FF5A5D">
        <w:rPr>
          <w:rFonts w:cstheme="minorHAnsi"/>
        </w:rPr>
        <w:t xml:space="preserve">step on your financial wellness journey. </w:t>
      </w:r>
    </w:p>
    <w:p w14:paraId="3E564187" w14:textId="79DFB632" w:rsidR="00450630" w:rsidRDefault="001E1C60" w:rsidP="0027475D">
      <w:pPr>
        <w:spacing w:after="120"/>
        <w:rPr>
          <w:rFonts w:cstheme="minorHAnsi"/>
        </w:rPr>
      </w:pPr>
      <w:r>
        <w:rPr>
          <w:rFonts w:cstheme="minorHAnsi"/>
        </w:rPr>
        <w:t xml:space="preserve">Following the presentation, </w:t>
      </w:r>
      <w:r w:rsidR="00450630" w:rsidRPr="007B68CA">
        <w:rPr>
          <w:rFonts w:cstheme="minorHAnsi"/>
        </w:rPr>
        <w:t xml:space="preserve">Dan </w:t>
      </w:r>
      <w:r>
        <w:rPr>
          <w:rFonts w:cstheme="minorHAnsi"/>
        </w:rPr>
        <w:t>will be available to</w:t>
      </w:r>
      <w:r w:rsidR="00450630" w:rsidRPr="007B68CA">
        <w:rPr>
          <w:rFonts w:cstheme="minorHAnsi"/>
        </w:rPr>
        <w:t xml:space="preserve"> answer </w:t>
      </w:r>
      <w:r w:rsidR="00450630">
        <w:rPr>
          <w:rFonts w:cstheme="minorHAnsi"/>
        </w:rPr>
        <w:t xml:space="preserve">your general </w:t>
      </w:r>
      <w:r w:rsidR="00450630" w:rsidRPr="007B68CA">
        <w:rPr>
          <w:rFonts w:cstheme="minorHAnsi"/>
        </w:rPr>
        <w:t xml:space="preserve">questions. </w:t>
      </w:r>
      <w:r w:rsidR="00450630">
        <w:rPr>
          <w:rFonts w:cstheme="minorHAnsi"/>
        </w:rPr>
        <w:t>You can also schedule a complimentary, one-on-one consultation with Dan</w:t>
      </w:r>
      <w:r w:rsidR="007F1BD2">
        <w:rPr>
          <w:rFonts w:cstheme="minorHAnsi"/>
        </w:rPr>
        <w:t xml:space="preserve"> to discuss your unique circumstances</w:t>
      </w:r>
      <w:r w:rsidR="00450630">
        <w:rPr>
          <w:rFonts w:cstheme="minorHAnsi"/>
        </w:rPr>
        <w:t xml:space="preserve">. </w:t>
      </w:r>
    </w:p>
    <w:p w14:paraId="4CEB0CDC" w14:textId="58C3F51B" w:rsidR="00E67AE2" w:rsidRPr="00BC06EA" w:rsidRDefault="00E67AE2" w:rsidP="0027475D">
      <w:pPr>
        <w:spacing w:after="0"/>
        <w:jc w:val="center"/>
        <w:rPr>
          <w:rFonts w:cstheme="minorHAnsi"/>
          <w:b/>
          <w:bCs/>
        </w:rPr>
      </w:pPr>
      <w:r w:rsidRPr="00BC06EA">
        <w:rPr>
          <w:rFonts w:cstheme="minorHAnsi"/>
          <w:b/>
          <w:bCs/>
        </w:rPr>
        <w:t xml:space="preserve">Tuesday, </w:t>
      </w:r>
      <w:r w:rsidR="00B62F7E">
        <w:rPr>
          <w:rFonts w:cstheme="minorHAnsi"/>
          <w:b/>
          <w:bCs/>
        </w:rPr>
        <w:t>September 1</w:t>
      </w:r>
      <w:r w:rsidR="00835DAE">
        <w:rPr>
          <w:rFonts w:cstheme="minorHAnsi"/>
          <w:b/>
          <w:bCs/>
        </w:rPr>
        <w:t>3</w:t>
      </w:r>
      <w:r w:rsidR="00A261C6">
        <w:rPr>
          <w:rFonts w:cstheme="minorHAnsi"/>
          <w:b/>
          <w:bCs/>
        </w:rPr>
        <w:t>, 2022</w:t>
      </w:r>
    </w:p>
    <w:p w14:paraId="7059388C" w14:textId="3558F541" w:rsidR="00E67AE2" w:rsidRPr="00BC06EA" w:rsidRDefault="00E67AE2" w:rsidP="004B5481">
      <w:pPr>
        <w:spacing w:after="0"/>
        <w:jc w:val="center"/>
        <w:rPr>
          <w:rFonts w:cstheme="minorHAnsi"/>
          <w:b/>
          <w:bCs/>
        </w:rPr>
      </w:pPr>
      <w:r w:rsidRPr="00BC06EA">
        <w:rPr>
          <w:rFonts w:cstheme="minorHAnsi"/>
          <w:b/>
          <w:bCs/>
        </w:rPr>
        <w:t>Noon</w:t>
      </w:r>
      <w:r w:rsidR="00AA1416" w:rsidRPr="00BC06EA">
        <w:rPr>
          <w:rFonts w:cstheme="minorHAnsi"/>
          <w:b/>
          <w:bCs/>
        </w:rPr>
        <w:t xml:space="preserve"> ET</w:t>
      </w:r>
    </w:p>
    <w:p w14:paraId="047D3ECF" w14:textId="22C711C5" w:rsidR="00ED487B" w:rsidRPr="00BC06EA" w:rsidRDefault="008D7E34" w:rsidP="00DA7658">
      <w:pPr>
        <w:spacing w:after="120"/>
        <w:rPr>
          <w:rFonts w:cstheme="minorHAnsi"/>
          <w:b/>
          <w:bCs/>
        </w:rPr>
      </w:pPr>
      <w:hyperlink r:id="rId12" w:history="1">
        <w:r w:rsidR="00E67AE2" w:rsidRPr="00BC06EA">
          <w:rPr>
            <w:rStyle w:val="Hyperlink"/>
            <w:rFonts w:cstheme="minorHAnsi"/>
            <w:b/>
            <w:bCs/>
          </w:rPr>
          <w:t>Register here for the webinar</w:t>
        </w:r>
      </w:hyperlink>
      <w:r w:rsidR="00BC06EA" w:rsidRPr="00BC06EA">
        <w:rPr>
          <w:rStyle w:val="Hyperlink"/>
          <w:rFonts w:cstheme="minorHAnsi"/>
          <w:b/>
          <w:bCs/>
        </w:rPr>
        <w:t>.</w:t>
      </w:r>
      <w:r w:rsidR="00E67AE2" w:rsidRPr="00BC06EA">
        <w:rPr>
          <w:rFonts w:cstheme="minorHAnsi"/>
          <w:b/>
          <w:bCs/>
        </w:rPr>
        <w:t xml:space="preserve"> </w:t>
      </w:r>
    </w:p>
    <w:p w14:paraId="50432F68" w14:textId="77777777" w:rsidR="00481901" w:rsidRPr="00BC06EA" w:rsidRDefault="00ED487B" w:rsidP="00DC2D4D">
      <w:pPr>
        <w:pStyle w:val="ListParagraph"/>
        <w:numPr>
          <w:ilvl w:val="0"/>
          <w:numId w:val="3"/>
        </w:numPr>
        <w:spacing w:after="0"/>
        <w:ind w:left="360"/>
        <w:rPr>
          <w:rFonts w:cstheme="minorHAnsi"/>
        </w:rPr>
      </w:pPr>
      <w:r w:rsidRPr="00BC06EA">
        <w:rPr>
          <w:rFonts w:cstheme="minorHAnsi"/>
        </w:rPr>
        <w:t xml:space="preserve">Select </w:t>
      </w:r>
      <w:r w:rsidRPr="00BC06EA">
        <w:rPr>
          <w:rFonts w:cstheme="minorHAnsi"/>
          <w:b/>
          <w:bCs/>
        </w:rPr>
        <w:t>Attend a learning event</w:t>
      </w:r>
      <w:r w:rsidRPr="00DA0EB3">
        <w:rPr>
          <w:rFonts w:cstheme="minorHAnsi"/>
        </w:rPr>
        <w:t xml:space="preserve">. </w:t>
      </w:r>
    </w:p>
    <w:p w14:paraId="5C20E289" w14:textId="6A9BE5BE" w:rsidR="00481901" w:rsidRPr="00BC06EA" w:rsidRDefault="00ED487B" w:rsidP="00DC2D4D">
      <w:pPr>
        <w:pStyle w:val="ListParagraph"/>
        <w:numPr>
          <w:ilvl w:val="0"/>
          <w:numId w:val="3"/>
        </w:numPr>
        <w:spacing w:after="0"/>
        <w:ind w:left="360"/>
        <w:rPr>
          <w:rFonts w:cstheme="minorHAnsi"/>
        </w:rPr>
      </w:pPr>
      <w:r w:rsidRPr="00BC06EA">
        <w:rPr>
          <w:rFonts w:cstheme="minorHAnsi"/>
        </w:rPr>
        <w:t>On the next page, enter</w:t>
      </w:r>
      <w:r w:rsidRPr="00BC06EA">
        <w:rPr>
          <w:rFonts w:cstheme="minorHAnsi"/>
          <w:b/>
          <w:bCs/>
        </w:rPr>
        <w:t xml:space="preserve"> The Board of Pensions of the PC(USA)</w:t>
      </w:r>
      <w:r w:rsidRPr="00BC06EA">
        <w:rPr>
          <w:rFonts w:cstheme="minorHAnsi"/>
        </w:rPr>
        <w:t xml:space="preserve"> as the employer</w:t>
      </w:r>
      <w:r w:rsidR="00C2096B">
        <w:rPr>
          <w:rFonts w:cstheme="minorHAnsi"/>
        </w:rPr>
        <w:t xml:space="preserve">, </w:t>
      </w:r>
      <w:r w:rsidRPr="00BC06EA">
        <w:rPr>
          <w:rFonts w:cstheme="minorHAnsi"/>
        </w:rPr>
        <w:t xml:space="preserve">choose </w:t>
      </w:r>
      <w:r w:rsidRPr="00BC06EA">
        <w:rPr>
          <w:rFonts w:cstheme="minorHAnsi"/>
          <w:b/>
          <w:bCs/>
        </w:rPr>
        <w:t>Virtual</w:t>
      </w:r>
      <w:r w:rsidRPr="00BC06EA">
        <w:rPr>
          <w:rFonts w:cstheme="minorHAnsi"/>
        </w:rPr>
        <w:t xml:space="preserve"> as the event type</w:t>
      </w:r>
      <w:r w:rsidR="00835DAE">
        <w:rPr>
          <w:rFonts w:cstheme="minorHAnsi"/>
        </w:rPr>
        <w:t xml:space="preserve">. </w:t>
      </w:r>
      <w:r w:rsidR="00CD22BA">
        <w:rPr>
          <w:rFonts w:cstheme="minorHAnsi"/>
        </w:rPr>
        <w:t xml:space="preserve"> </w:t>
      </w:r>
      <w:r w:rsidRPr="00BC06EA">
        <w:rPr>
          <w:rFonts w:cstheme="minorHAnsi"/>
        </w:rPr>
        <w:t xml:space="preserve"> </w:t>
      </w:r>
    </w:p>
    <w:p w14:paraId="5676BAA6" w14:textId="16E49001" w:rsidR="00481901" w:rsidRPr="00BC06EA" w:rsidRDefault="00ED487B" w:rsidP="0027475D">
      <w:pPr>
        <w:pStyle w:val="ListParagraph"/>
        <w:numPr>
          <w:ilvl w:val="0"/>
          <w:numId w:val="3"/>
        </w:numPr>
        <w:spacing w:after="120"/>
        <w:ind w:left="360"/>
        <w:rPr>
          <w:rFonts w:cstheme="minorHAnsi"/>
        </w:rPr>
      </w:pPr>
      <w:r w:rsidRPr="00BC06EA">
        <w:rPr>
          <w:rFonts w:cstheme="minorHAnsi"/>
        </w:rPr>
        <w:t xml:space="preserve">Click the green </w:t>
      </w:r>
      <w:r w:rsidRPr="00BC06EA">
        <w:rPr>
          <w:rFonts w:cstheme="minorHAnsi"/>
          <w:b/>
          <w:bCs/>
        </w:rPr>
        <w:t>Register</w:t>
      </w:r>
      <w:r w:rsidRPr="00BC06EA">
        <w:rPr>
          <w:rFonts w:cstheme="minorHAnsi"/>
        </w:rPr>
        <w:t xml:space="preserve"> button</w:t>
      </w:r>
      <w:r w:rsidR="00CD22BA">
        <w:rPr>
          <w:rFonts w:cstheme="minorHAnsi"/>
        </w:rPr>
        <w:t xml:space="preserve"> for the </w:t>
      </w:r>
      <w:r w:rsidR="00B62F7E">
        <w:rPr>
          <w:rFonts w:cstheme="minorHAnsi"/>
        </w:rPr>
        <w:t>September 13</w:t>
      </w:r>
      <w:r w:rsidR="001E1C60">
        <w:rPr>
          <w:rFonts w:cstheme="minorHAnsi"/>
        </w:rPr>
        <w:t xml:space="preserve"> As</w:t>
      </w:r>
      <w:r w:rsidR="00CD22BA">
        <w:rPr>
          <w:rFonts w:cstheme="minorHAnsi"/>
        </w:rPr>
        <w:t>k Fidelity event</w:t>
      </w:r>
      <w:r w:rsidRPr="00BC06EA">
        <w:rPr>
          <w:rFonts w:cstheme="minorHAnsi"/>
        </w:rPr>
        <w:t xml:space="preserve">, provide the requested information, and click the blue </w:t>
      </w:r>
      <w:r w:rsidRPr="00BC06EA">
        <w:rPr>
          <w:rFonts w:cstheme="minorHAnsi"/>
          <w:b/>
          <w:bCs/>
        </w:rPr>
        <w:t>Schedule Event</w:t>
      </w:r>
      <w:r w:rsidRPr="00BC06EA">
        <w:rPr>
          <w:rFonts w:cstheme="minorHAnsi"/>
        </w:rPr>
        <w:t xml:space="preserve"> button to complete your registration.  </w:t>
      </w:r>
    </w:p>
    <w:p w14:paraId="0D10BF71" w14:textId="437E46BC" w:rsidR="00485B9D" w:rsidRPr="00A555E0" w:rsidRDefault="00485B9D" w:rsidP="0027475D">
      <w:pPr>
        <w:spacing w:after="120"/>
        <w:rPr>
          <w:b/>
          <w:bCs/>
        </w:rPr>
      </w:pPr>
      <w:r>
        <w:rPr>
          <w:rFonts w:cstheme="minorHAnsi"/>
          <w:color w:val="212529"/>
          <w:shd w:val="clear" w:color="auto" w:fill="FFFFFF"/>
        </w:rPr>
        <w:t xml:space="preserve">If you have medical coverage through the Board of Pensions, you can earn 25 </w:t>
      </w:r>
      <w:hyperlink r:id="rId13" w:history="1">
        <w:r w:rsidRPr="007F2A59">
          <w:rPr>
            <w:rStyle w:val="Hyperlink"/>
            <w:rFonts w:cstheme="minorHAnsi"/>
            <w:shd w:val="clear" w:color="auto" w:fill="FFFFFF"/>
          </w:rPr>
          <w:t>Call to Health</w:t>
        </w:r>
      </w:hyperlink>
      <w:r>
        <w:rPr>
          <w:rFonts w:cstheme="minorHAnsi"/>
          <w:color w:val="212529"/>
          <w:shd w:val="clear" w:color="auto" w:fill="FFFFFF"/>
        </w:rPr>
        <w:t xml:space="preserve"> points for </w:t>
      </w:r>
      <w:r w:rsidR="00A555E0">
        <w:rPr>
          <w:rFonts w:cstheme="minorHAnsi"/>
          <w:color w:val="212529"/>
          <w:shd w:val="clear" w:color="auto" w:fill="FFFFFF"/>
        </w:rPr>
        <w:t>participating in this webinar</w:t>
      </w:r>
      <w:r w:rsidR="0027475D">
        <w:rPr>
          <w:rFonts w:cstheme="minorHAnsi"/>
          <w:color w:val="212529"/>
          <w:shd w:val="clear" w:color="auto" w:fill="FFFFFF"/>
        </w:rPr>
        <w:t>.</w:t>
      </w:r>
      <w:r w:rsidR="00A555E0">
        <w:rPr>
          <w:rFonts w:cstheme="minorHAnsi"/>
          <w:color w:val="212529"/>
          <w:shd w:val="clear" w:color="auto" w:fill="FFFFFF"/>
        </w:rPr>
        <w:t xml:space="preserve"> Join the </w:t>
      </w:r>
      <w:r>
        <w:rPr>
          <w:rFonts w:cstheme="minorHAnsi"/>
          <w:color w:val="212529"/>
          <w:shd w:val="clear" w:color="auto" w:fill="FFFFFF"/>
        </w:rPr>
        <w:t xml:space="preserve">Ask Fidelity </w:t>
      </w:r>
      <w:r w:rsidRPr="0081719B">
        <w:rPr>
          <w:rFonts w:cstheme="minorHAnsi"/>
          <w:color w:val="212529"/>
          <w:shd w:val="clear" w:color="auto" w:fill="FFFFFF"/>
        </w:rPr>
        <w:t>challenge (</w:t>
      </w:r>
      <w:r w:rsidR="001E1C60">
        <w:rPr>
          <w:rFonts w:cstheme="minorHAnsi"/>
          <w:color w:val="212529"/>
          <w:shd w:val="clear" w:color="auto" w:fill="FFFFFF"/>
        </w:rPr>
        <w:t xml:space="preserve">available </w:t>
      </w:r>
      <w:r w:rsidR="00646F5D">
        <w:rPr>
          <w:rFonts w:cstheme="minorHAnsi"/>
          <w:color w:val="212529"/>
          <w:shd w:val="clear" w:color="auto" w:fill="FFFFFF"/>
        </w:rPr>
        <w:t>August 29</w:t>
      </w:r>
      <w:r w:rsidR="00F91753">
        <w:rPr>
          <w:rFonts w:cstheme="minorHAnsi"/>
          <w:color w:val="212529"/>
          <w:shd w:val="clear" w:color="auto" w:fill="FFFFFF"/>
        </w:rPr>
        <w:t xml:space="preserve"> through </w:t>
      </w:r>
      <w:r w:rsidR="00646F5D">
        <w:rPr>
          <w:rFonts w:cstheme="minorHAnsi"/>
          <w:color w:val="212529"/>
          <w:shd w:val="clear" w:color="auto" w:fill="FFFFFF"/>
        </w:rPr>
        <w:t>September 18</w:t>
      </w:r>
      <w:r w:rsidRPr="0081719B">
        <w:rPr>
          <w:rFonts w:cstheme="minorHAnsi"/>
          <w:color w:val="212529"/>
          <w:shd w:val="clear" w:color="auto" w:fill="FFFFFF"/>
        </w:rPr>
        <w:t>)</w:t>
      </w:r>
      <w:r w:rsidR="00A555E0" w:rsidRPr="0081719B">
        <w:rPr>
          <w:rFonts w:cstheme="minorHAnsi"/>
          <w:color w:val="212529"/>
          <w:shd w:val="clear" w:color="auto" w:fill="FFFFFF"/>
        </w:rPr>
        <w:t xml:space="preserve"> and</w:t>
      </w:r>
      <w:r w:rsidR="00A555E0">
        <w:rPr>
          <w:rFonts w:cstheme="minorHAnsi"/>
          <w:color w:val="212529"/>
          <w:shd w:val="clear" w:color="auto" w:fill="FFFFFF"/>
        </w:rPr>
        <w:t xml:space="preserve"> points will be awarded </w:t>
      </w:r>
      <w:r w:rsidR="00DA0EB3">
        <w:rPr>
          <w:rFonts w:cstheme="minorHAnsi"/>
          <w:color w:val="212529"/>
          <w:shd w:val="clear" w:color="auto" w:fill="FFFFFF"/>
        </w:rPr>
        <w:t xml:space="preserve">within two to three weeks </w:t>
      </w:r>
      <w:r w:rsidR="00A555E0">
        <w:rPr>
          <w:rFonts w:cstheme="minorHAnsi"/>
          <w:color w:val="212529"/>
          <w:shd w:val="clear" w:color="auto" w:fill="FFFFFF"/>
        </w:rPr>
        <w:t>after the event</w:t>
      </w:r>
      <w:r>
        <w:rPr>
          <w:rFonts w:cstheme="minorHAnsi"/>
          <w:color w:val="212529"/>
          <w:shd w:val="clear" w:color="auto" w:fill="FFFFFF"/>
        </w:rPr>
        <w:t xml:space="preserve">. </w:t>
      </w:r>
      <w:r w:rsidRPr="001E1C60">
        <w:rPr>
          <w:rFonts w:cstheme="minorHAnsi"/>
          <w:i/>
          <w:iCs/>
          <w:color w:val="212529"/>
          <w:shd w:val="clear" w:color="auto" w:fill="FFFFFF"/>
        </w:rPr>
        <w:t xml:space="preserve">Call to Health is not available to members enrolled in Triple-S, </w:t>
      </w:r>
      <w:proofErr w:type="spellStart"/>
      <w:r w:rsidRPr="001E1C60">
        <w:rPr>
          <w:rFonts w:cstheme="minorHAnsi"/>
          <w:i/>
          <w:iCs/>
          <w:color w:val="212529"/>
          <w:shd w:val="clear" w:color="auto" w:fill="FFFFFF"/>
        </w:rPr>
        <w:t>GeoBlue</w:t>
      </w:r>
      <w:proofErr w:type="spellEnd"/>
      <w:r w:rsidRPr="001E1C60">
        <w:rPr>
          <w:rFonts w:cstheme="minorHAnsi"/>
          <w:i/>
          <w:iCs/>
          <w:color w:val="212529"/>
          <w:shd w:val="clear" w:color="auto" w:fill="FFFFFF"/>
        </w:rPr>
        <w:t>, or the Medicare Supplement Plan.</w:t>
      </w:r>
    </w:p>
    <w:p w14:paraId="7F4D0106" w14:textId="0167FAE4" w:rsidR="008734A7" w:rsidRPr="00BC06EA" w:rsidRDefault="008734A7" w:rsidP="008734A7">
      <w:pPr>
        <w:rPr>
          <w:b/>
          <w:bCs/>
        </w:rPr>
      </w:pPr>
      <w:r w:rsidRPr="00BC06EA">
        <w:rPr>
          <w:b/>
          <w:bCs/>
        </w:rPr>
        <w:t>Not in the Retirement Savings Plan?</w:t>
      </w:r>
    </w:p>
    <w:p w14:paraId="539F6573" w14:textId="2CD5BAEE" w:rsidR="006C7602" w:rsidRPr="008D7E34" w:rsidRDefault="008734A7" w:rsidP="0042605B">
      <w:pPr>
        <w:rPr>
          <w:b/>
          <w:bCs/>
        </w:rPr>
      </w:pPr>
      <w:r w:rsidRPr="00BC06EA">
        <w:t xml:space="preserve">If you do not currently participate in the </w:t>
      </w:r>
      <w:hyperlink r:id="rId14" w:history="1">
        <w:r w:rsidRPr="00BC06EA">
          <w:rPr>
            <w:rStyle w:val="Hyperlink"/>
          </w:rPr>
          <w:t>Retirement Savings Plan</w:t>
        </w:r>
      </w:hyperlink>
      <w:r w:rsidR="008C3973">
        <w:rPr>
          <w:rStyle w:val="Hyperlink"/>
        </w:rPr>
        <w:t xml:space="preserve"> (RSP)</w:t>
      </w:r>
      <w:r w:rsidRPr="00BC06EA">
        <w:t>, talk with your employer today about enrolling. All employees who work for a PC(USA) church or affiliated employer can participate if their employer offers the plan to them. If your employer does not offer the RSP, ask them to contact the Board of Pensions at 800-773-7752 (800-PRESPLAN).</w:t>
      </w:r>
    </w:p>
    <w:sectPr w:rsidR="006C7602" w:rsidRPr="008D7E34" w:rsidSect="008D7E3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4CD" w14:textId="77777777" w:rsidR="000A6A24" w:rsidRDefault="000A6A24" w:rsidP="000A6A24">
      <w:pPr>
        <w:spacing w:after="0" w:line="240" w:lineRule="auto"/>
      </w:pPr>
      <w:r>
        <w:separator/>
      </w:r>
    </w:p>
  </w:endnote>
  <w:endnote w:type="continuationSeparator" w:id="0">
    <w:p w14:paraId="33C97388" w14:textId="77777777" w:rsidR="000A6A24" w:rsidRDefault="000A6A24" w:rsidP="000A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E376" w14:textId="77777777" w:rsidR="000A6A24" w:rsidRDefault="000A6A24" w:rsidP="000A6A24">
      <w:pPr>
        <w:spacing w:after="0" w:line="240" w:lineRule="auto"/>
      </w:pPr>
      <w:r>
        <w:separator/>
      </w:r>
    </w:p>
  </w:footnote>
  <w:footnote w:type="continuationSeparator" w:id="0">
    <w:p w14:paraId="4B1C6540" w14:textId="77777777" w:rsidR="000A6A24" w:rsidRDefault="000A6A24" w:rsidP="000A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694"/>
    <w:multiLevelType w:val="hybridMultilevel"/>
    <w:tmpl w:val="9B545F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5CE33FD"/>
    <w:multiLevelType w:val="hybridMultilevel"/>
    <w:tmpl w:val="47CA8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360F"/>
    <w:multiLevelType w:val="hybridMultilevel"/>
    <w:tmpl w:val="2BCE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232920">
    <w:abstractNumId w:val="0"/>
  </w:num>
  <w:num w:numId="2" w16cid:durableId="335151607">
    <w:abstractNumId w:val="2"/>
  </w:num>
  <w:num w:numId="3" w16cid:durableId="2086873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AD"/>
    <w:rsid w:val="00001D8A"/>
    <w:rsid w:val="00010F37"/>
    <w:rsid w:val="00027920"/>
    <w:rsid w:val="00053EB7"/>
    <w:rsid w:val="000623CD"/>
    <w:rsid w:val="000A4964"/>
    <w:rsid w:val="000A6A24"/>
    <w:rsid w:val="000B72AD"/>
    <w:rsid w:val="00122CD4"/>
    <w:rsid w:val="00150223"/>
    <w:rsid w:val="001621A5"/>
    <w:rsid w:val="00177811"/>
    <w:rsid w:val="00184562"/>
    <w:rsid w:val="0018589D"/>
    <w:rsid w:val="001D6B0F"/>
    <w:rsid w:val="001E1C60"/>
    <w:rsid w:val="00216AAD"/>
    <w:rsid w:val="0027475D"/>
    <w:rsid w:val="002A3B51"/>
    <w:rsid w:val="002D2F7F"/>
    <w:rsid w:val="00330B28"/>
    <w:rsid w:val="003C3BDC"/>
    <w:rsid w:val="0042605B"/>
    <w:rsid w:val="00434D8F"/>
    <w:rsid w:val="00450630"/>
    <w:rsid w:val="00460E0B"/>
    <w:rsid w:val="00481901"/>
    <w:rsid w:val="00485B9D"/>
    <w:rsid w:val="004B5481"/>
    <w:rsid w:val="00526D7A"/>
    <w:rsid w:val="0053336F"/>
    <w:rsid w:val="0056695A"/>
    <w:rsid w:val="005A5162"/>
    <w:rsid w:val="005A5326"/>
    <w:rsid w:val="005C08ED"/>
    <w:rsid w:val="00622320"/>
    <w:rsid w:val="00623482"/>
    <w:rsid w:val="00644584"/>
    <w:rsid w:val="00646F5D"/>
    <w:rsid w:val="00660216"/>
    <w:rsid w:val="006C7602"/>
    <w:rsid w:val="006D4A9D"/>
    <w:rsid w:val="0076637B"/>
    <w:rsid w:val="00786E89"/>
    <w:rsid w:val="00797953"/>
    <w:rsid w:val="007B021B"/>
    <w:rsid w:val="007B68CA"/>
    <w:rsid w:val="007F1BD2"/>
    <w:rsid w:val="0081719B"/>
    <w:rsid w:val="00835DAE"/>
    <w:rsid w:val="008734A7"/>
    <w:rsid w:val="008C23DF"/>
    <w:rsid w:val="008C3973"/>
    <w:rsid w:val="008D3040"/>
    <w:rsid w:val="008D7E34"/>
    <w:rsid w:val="00946784"/>
    <w:rsid w:val="009970AD"/>
    <w:rsid w:val="009B0080"/>
    <w:rsid w:val="009C31BD"/>
    <w:rsid w:val="00A13CAD"/>
    <w:rsid w:val="00A261C6"/>
    <w:rsid w:val="00A555E0"/>
    <w:rsid w:val="00A91390"/>
    <w:rsid w:val="00AA1416"/>
    <w:rsid w:val="00AA502A"/>
    <w:rsid w:val="00B25CD1"/>
    <w:rsid w:val="00B427AB"/>
    <w:rsid w:val="00B4319B"/>
    <w:rsid w:val="00B62F7E"/>
    <w:rsid w:val="00B7234E"/>
    <w:rsid w:val="00B85FFA"/>
    <w:rsid w:val="00BA3C4C"/>
    <w:rsid w:val="00BA6064"/>
    <w:rsid w:val="00BC06EA"/>
    <w:rsid w:val="00BF6C3E"/>
    <w:rsid w:val="00BF747A"/>
    <w:rsid w:val="00C1247D"/>
    <w:rsid w:val="00C2096B"/>
    <w:rsid w:val="00CC4521"/>
    <w:rsid w:val="00CD22BA"/>
    <w:rsid w:val="00D20DBF"/>
    <w:rsid w:val="00D657D4"/>
    <w:rsid w:val="00D67C0F"/>
    <w:rsid w:val="00D764D7"/>
    <w:rsid w:val="00D86AB6"/>
    <w:rsid w:val="00DA0EB3"/>
    <w:rsid w:val="00DA7658"/>
    <w:rsid w:val="00DC2D4D"/>
    <w:rsid w:val="00DD5A81"/>
    <w:rsid w:val="00E67AE2"/>
    <w:rsid w:val="00EA3D0F"/>
    <w:rsid w:val="00ED487B"/>
    <w:rsid w:val="00EF4CEC"/>
    <w:rsid w:val="00EF6A63"/>
    <w:rsid w:val="00F0675F"/>
    <w:rsid w:val="00F656C2"/>
    <w:rsid w:val="00F91753"/>
    <w:rsid w:val="00FD6D63"/>
    <w:rsid w:val="00FE7AA3"/>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66B"/>
  <w15:chartTrackingRefBased/>
  <w15:docId w15:val="{BEB4246A-C36E-4D3D-83B8-449DF338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BDC"/>
    <w:rPr>
      <w:color w:val="0563C1" w:themeColor="hyperlink"/>
      <w:u w:val="single"/>
    </w:rPr>
  </w:style>
  <w:style w:type="character" w:styleId="UnresolvedMention">
    <w:name w:val="Unresolved Mention"/>
    <w:basedOn w:val="DefaultParagraphFont"/>
    <w:uiPriority w:val="99"/>
    <w:semiHidden/>
    <w:unhideWhenUsed/>
    <w:rsid w:val="003C3BDC"/>
    <w:rPr>
      <w:color w:val="605E5C"/>
      <w:shd w:val="clear" w:color="auto" w:fill="E1DFDD"/>
    </w:rPr>
  </w:style>
  <w:style w:type="paragraph" w:styleId="ListParagraph">
    <w:name w:val="List Paragraph"/>
    <w:basedOn w:val="Normal"/>
    <w:uiPriority w:val="34"/>
    <w:qFormat/>
    <w:rsid w:val="007B68CA"/>
    <w:pPr>
      <w:ind w:left="720"/>
      <w:contextualSpacing/>
    </w:pPr>
  </w:style>
  <w:style w:type="character" w:styleId="FollowedHyperlink">
    <w:name w:val="FollowedHyperlink"/>
    <w:basedOn w:val="DefaultParagraphFont"/>
    <w:uiPriority w:val="99"/>
    <w:semiHidden/>
    <w:unhideWhenUsed/>
    <w:rsid w:val="007B68CA"/>
    <w:rPr>
      <w:color w:val="954F72" w:themeColor="followedHyperlink"/>
      <w:u w:val="single"/>
    </w:rPr>
  </w:style>
  <w:style w:type="character" w:styleId="CommentReference">
    <w:name w:val="annotation reference"/>
    <w:basedOn w:val="DefaultParagraphFont"/>
    <w:uiPriority w:val="99"/>
    <w:semiHidden/>
    <w:unhideWhenUsed/>
    <w:rsid w:val="00053EB7"/>
    <w:rPr>
      <w:sz w:val="16"/>
      <w:szCs w:val="16"/>
    </w:rPr>
  </w:style>
  <w:style w:type="paragraph" w:styleId="CommentText">
    <w:name w:val="annotation text"/>
    <w:basedOn w:val="Normal"/>
    <w:link w:val="CommentTextChar"/>
    <w:uiPriority w:val="99"/>
    <w:semiHidden/>
    <w:unhideWhenUsed/>
    <w:rsid w:val="00053EB7"/>
    <w:pPr>
      <w:spacing w:line="240" w:lineRule="auto"/>
    </w:pPr>
    <w:rPr>
      <w:sz w:val="20"/>
      <w:szCs w:val="20"/>
    </w:rPr>
  </w:style>
  <w:style w:type="character" w:customStyle="1" w:styleId="CommentTextChar">
    <w:name w:val="Comment Text Char"/>
    <w:basedOn w:val="DefaultParagraphFont"/>
    <w:link w:val="CommentText"/>
    <w:uiPriority w:val="99"/>
    <w:semiHidden/>
    <w:rsid w:val="00053EB7"/>
    <w:rPr>
      <w:sz w:val="20"/>
      <w:szCs w:val="20"/>
    </w:rPr>
  </w:style>
  <w:style w:type="paragraph" w:styleId="CommentSubject">
    <w:name w:val="annotation subject"/>
    <w:basedOn w:val="CommentText"/>
    <w:next w:val="CommentText"/>
    <w:link w:val="CommentSubjectChar"/>
    <w:uiPriority w:val="99"/>
    <w:semiHidden/>
    <w:unhideWhenUsed/>
    <w:rsid w:val="00053EB7"/>
    <w:rPr>
      <w:b/>
      <w:bCs/>
    </w:rPr>
  </w:style>
  <w:style w:type="character" w:customStyle="1" w:styleId="CommentSubjectChar">
    <w:name w:val="Comment Subject Char"/>
    <w:basedOn w:val="CommentTextChar"/>
    <w:link w:val="CommentSubject"/>
    <w:uiPriority w:val="99"/>
    <w:semiHidden/>
    <w:rsid w:val="00053EB7"/>
    <w:rPr>
      <w:b/>
      <w:bCs/>
      <w:sz w:val="20"/>
      <w:szCs w:val="20"/>
    </w:rPr>
  </w:style>
  <w:style w:type="paragraph" w:styleId="Revision">
    <w:name w:val="Revision"/>
    <w:hidden/>
    <w:uiPriority w:val="99"/>
    <w:semiHidden/>
    <w:rsid w:val="0053336F"/>
    <w:pPr>
      <w:spacing w:after="0" w:line="240" w:lineRule="auto"/>
    </w:pPr>
  </w:style>
  <w:style w:type="paragraph" w:styleId="Header">
    <w:name w:val="header"/>
    <w:basedOn w:val="Normal"/>
    <w:link w:val="HeaderChar"/>
    <w:uiPriority w:val="99"/>
    <w:unhideWhenUsed/>
    <w:rsid w:val="000A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24"/>
  </w:style>
  <w:style w:type="paragraph" w:styleId="Footer">
    <w:name w:val="footer"/>
    <w:basedOn w:val="Normal"/>
    <w:link w:val="FooterChar"/>
    <w:uiPriority w:val="99"/>
    <w:unhideWhenUsed/>
    <w:rsid w:val="000A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alltohealth.limeade.com/brandedlogin.aspx?ReturnUrl=%2fHome&amp;e=boardofpen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delity.com/schedu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mob.com/p/lr02us763oyxe5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png@01D802DB.92287D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ensions.org/what-we-offer/benefits-guidance/retirement-saving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Milone, Laurie</dc:creator>
  <cp:keywords/>
  <dc:description/>
  <cp:lastModifiedBy>Portz, Douglas</cp:lastModifiedBy>
  <cp:revision>2</cp:revision>
  <dcterms:created xsi:type="dcterms:W3CDTF">2022-07-29T15:14:00Z</dcterms:created>
  <dcterms:modified xsi:type="dcterms:W3CDTF">2022-07-29T15:14:00Z</dcterms:modified>
</cp:coreProperties>
</file>