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7161" w14:textId="538AE4C9" w:rsidR="00CC3698" w:rsidRPr="00F77303" w:rsidRDefault="003E5A4A">
      <w:r>
        <w:rPr>
          <w:noProof/>
        </w:rPr>
        <w:drawing>
          <wp:anchor distT="0" distB="0" distL="114300" distR="114300" simplePos="0" relativeHeight="251658240" behindDoc="0" locked="0" layoutInCell="1" allowOverlap="1" wp14:anchorId="270ED709" wp14:editId="7C40F6F2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485900" cy="399415"/>
            <wp:effectExtent l="0" t="0" r="1270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UR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268">
        <w:rPr>
          <w:rFonts w:ascii="Helvetica" w:hAnsi="Helvetica"/>
          <w:b/>
          <w:sz w:val="28"/>
          <w:szCs w:val="28"/>
        </w:rPr>
        <w:t xml:space="preserve">Expanding Healthy Food Incentive Programs in California </w:t>
      </w:r>
      <w:bookmarkStart w:id="0" w:name="_GoBack"/>
      <w:bookmarkEnd w:id="0"/>
      <w:r w:rsidR="005C7268">
        <w:rPr>
          <w:rFonts w:ascii="Helvetica" w:hAnsi="Helvetica"/>
          <w:b/>
          <w:sz w:val="28"/>
          <w:szCs w:val="28"/>
        </w:rPr>
        <w:t>Policy Brief</w:t>
      </w:r>
    </w:p>
    <w:p w14:paraId="19A9670B" w14:textId="77777777" w:rsidR="000C30C1" w:rsidRDefault="000C30C1"/>
    <w:p w14:paraId="12E2DBDA" w14:textId="56161C1B" w:rsidR="00E15300" w:rsidRPr="00E15300" w:rsidRDefault="00C350DC" w:rsidP="00E15300">
      <w:pPr>
        <w:rPr>
          <w:rFonts w:eastAsia="Times New Roman" w:cs="Times New Roman"/>
        </w:rPr>
      </w:pPr>
      <w:r>
        <w:rPr>
          <w:rFonts w:eastAsia="Times New Roman" w:cs="Times New Roman"/>
        </w:rPr>
        <w:t>Fruit and vegetable benefit programs – which are also known as h</w:t>
      </w:r>
      <w:r w:rsidR="00E15300" w:rsidRPr="00E15300">
        <w:rPr>
          <w:rFonts w:eastAsia="Times New Roman" w:cs="Times New Roman"/>
        </w:rPr>
        <w:t xml:space="preserve">ealthy food incentive programs </w:t>
      </w:r>
      <w:r>
        <w:rPr>
          <w:rFonts w:eastAsia="Times New Roman" w:cs="Times New Roman"/>
        </w:rPr>
        <w:t xml:space="preserve">and </w:t>
      </w:r>
      <w:r w:rsidR="00E15300" w:rsidRPr="00E15300">
        <w:rPr>
          <w:rFonts w:eastAsia="Times New Roman" w:cs="Times New Roman"/>
        </w:rPr>
        <w:t>provide low-income families with matching dollars to b</w:t>
      </w:r>
      <w:r w:rsidR="00E15300">
        <w:rPr>
          <w:rFonts w:eastAsia="Times New Roman" w:cs="Times New Roman"/>
        </w:rPr>
        <w:t xml:space="preserve">uy </w:t>
      </w:r>
      <w:r w:rsidR="00775B27">
        <w:rPr>
          <w:rFonts w:eastAsia="Times New Roman" w:cs="Times New Roman"/>
        </w:rPr>
        <w:t xml:space="preserve">California-grown </w:t>
      </w:r>
      <w:r w:rsidR="00E15300">
        <w:rPr>
          <w:rFonts w:eastAsia="Times New Roman" w:cs="Times New Roman"/>
        </w:rPr>
        <w:t>fruits and vegetables —</w:t>
      </w:r>
      <w:r w:rsidR="00E15300" w:rsidRPr="00E15300">
        <w:rPr>
          <w:rFonts w:eastAsia="Times New Roman" w:cs="Times New Roman"/>
        </w:rPr>
        <w:t xml:space="preserve">make </w:t>
      </w:r>
      <w:r w:rsidR="00E15300">
        <w:rPr>
          <w:rFonts w:eastAsia="Times New Roman" w:cs="Times New Roman"/>
        </w:rPr>
        <w:t xml:space="preserve">healthy </w:t>
      </w:r>
      <w:r w:rsidR="00E15300" w:rsidRPr="00E15300">
        <w:rPr>
          <w:rFonts w:eastAsia="Times New Roman" w:cs="Times New Roman"/>
        </w:rPr>
        <w:t>food more affordable</w:t>
      </w:r>
      <w:r w:rsidR="0095706B">
        <w:rPr>
          <w:rFonts w:eastAsia="Times New Roman" w:cs="Times New Roman"/>
        </w:rPr>
        <w:t xml:space="preserve"> while also supporting California farmers</w:t>
      </w:r>
      <w:r w:rsidR="00E15300" w:rsidRPr="00E15300">
        <w:rPr>
          <w:rFonts w:eastAsia="Times New Roman" w:cs="Times New Roman"/>
        </w:rPr>
        <w:t xml:space="preserve">. </w:t>
      </w:r>
      <w:r w:rsidR="00CC3698">
        <w:rPr>
          <w:rFonts w:eastAsia="Times New Roman" w:cs="Times New Roman"/>
        </w:rPr>
        <w:t>Numerous organiz</w:t>
      </w:r>
      <w:r w:rsidR="00F6413C">
        <w:rPr>
          <w:rFonts w:eastAsia="Times New Roman" w:cs="Times New Roman"/>
        </w:rPr>
        <w:t xml:space="preserve">ations have piloted </w:t>
      </w:r>
      <w:r>
        <w:rPr>
          <w:rFonts w:eastAsia="Times New Roman" w:cs="Times New Roman"/>
        </w:rPr>
        <w:t>fruit and vegetable benefit</w:t>
      </w:r>
      <w:r w:rsidR="00CC3698">
        <w:rPr>
          <w:rFonts w:eastAsia="Times New Roman" w:cs="Times New Roman"/>
        </w:rPr>
        <w:t xml:space="preserve"> programs at grocery stores and farmers markets</w:t>
      </w:r>
      <w:r w:rsidR="00F6413C">
        <w:rPr>
          <w:rFonts w:eastAsia="Times New Roman" w:cs="Times New Roman"/>
        </w:rPr>
        <w:t xml:space="preserve"> in California</w:t>
      </w:r>
      <w:r w:rsidR="00CC3698">
        <w:rPr>
          <w:rFonts w:eastAsia="Times New Roman" w:cs="Times New Roman"/>
        </w:rPr>
        <w:t xml:space="preserve"> and evaluations from those programs</w:t>
      </w:r>
      <w:r w:rsidR="00F6413C">
        <w:rPr>
          <w:rFonts w:eastAsia="Times New Roman" w:cs="Times New Roman"/>
        </w:rPr>
        <w:t xml:space="preserve">, and others nationally, </w:t>
      </w:r>
      <w:r w:rsidR="00CC3698">
        <w:rPr>
          <w:rFonts w:eastAsia="Times New Roman" w:cs="Times New Roman"/>
        </w:rPr>
        <w:t xml:space="preserve">show that they </w:t>
      </w:r>
      <w:r w:rsidR="000937D4">
        <w:rPr>
          <w:rFonts w:eastAsia="Times New Roman" w:cs="Times New Roman"/>
        </w:rPr>
        <w:t>work.</w:t>
      </w:r>
      <w:r w:rsidR="00775B27">
        <w:rPr>
          <w:rFonts w:eastAsia="Times New Roman" w:cs="Times New Roman"/>
        </w:rPr>
        <w:t xml:space="preserve"> For these programs to reach their full potential on a larger scale and have a greater impact on hunger, health, and California agriculture,</w:t>
      </w:r>
      <w:r w:rsidR="000937D4">
        <w:rPr>
          <w:rFonts w:eastAsia="Times New Roman" w:cs="Times New Roman"/>
        </w:rPr>
        <w:t xml:space="preserve"> </w:t>
      </w:r>
      <w:r w:rsidR="00775B27">
        <w:rPr>
          <w:rFonts w:eastAsia="Times New Roman" w:cs="Times New Roman"/>
        </w:rPr>
        <w:t xml:space="preserve">the state </w:t>
      </w:r>
      <w:r w:rsidR="000937D4">
        <w:rPr>
          <w:rFonts w:eastAsia="Times New Roman" w:cs="Times New Roman"/>
        </w:rPr>
        <w:t xml:space="preserve">must </w:t>
      </w:r>
      <w:r w:rsidR="005C7268">
        <w:rPr>
          <w:rFonts w:eastAsia="Times New Roman" w:cs="Times New Roman"/>
        </w:rPr>
        <w:t xml:space="preserve">make it easier for these programs to scale via the </w:t>
      </w:r>
      <w:r w:rsidR="000937D4">
        <w:rPr>
          <w:rFonts w:eastAsia="Times New Roman" w:cs="Times New Roman"/>
        </w:rPr>
        <w:t>existing electronic benefits transfer (EBT) card</w:t>
      </w:r>
      <w:r w:rsidR="005C7268">
        <w:rPr>
          <w:rFonts w:eastAsia="Times New Roman" w:cs="Times New Roman"/>
        </w:rPr>
        <w:t xml:space="preserve"> and provide long-term funding to make these programs a permanent supplement to the state’s </w:t>
      </w:r>
      <w:proofErr w:type="spellStart"/>
      <w:r w:rsidR="005C7268">
        <w:rPr>
          <w:rFonts w:eastAsia="Times New Roman" w:cs="Times New Roman"/>
        </w:rPr>
        <w:t>CalFresh</w:t>
      </w:r>
      <w:proofErr w:type="spellEnd"/>
      <w:r w:rsidR="005C7268">
        <w:rPr>
          <w:rFonts w:eastAsia="Times New Roman" w:cs="Times New Roman"/>
        </w:rPr>
        <w:t xml:space="preserve"> program</w:t>
      </w:r>
      <w:r w:rsidR="000937D4">
        <w:rPr>
          <w:rFonts w:eastAsia="Times New Roman" w:cs="Times New Roman"/>
        </w:rPr>
        <w:t xml:space="preserve">. </w:t>
      </w:r>
    </w:p>
    <w:p w14:paraId="2418FF48" w14:textId="77777777" w:rsidR="00E15300" w:rsidRDefault="00E15300"/>
    <w:p w14:paraId="6E0632C3" w14:textId="77777777" w:rsidR="000C30C1" w:rsidRDefault="000C30C1">
      <w:pPr>
        <w:rPr>
          <w:b/>
        </w:rPr>
      </w:pPr>
      <w:r w:rsidRPr="00BF5955">
        <w:rPr>
          <w:b/>
        </w:rPr>
        <w:t>Too many Californians are food insecure and suffer from diet-related disease</w:t>
      </w:r>
    </w:p>
    <w:p w14:paraId="47FF3560" w14:textId="77777777" w:rsidR="00542100" w:rsidRPr="00BF5955" w:rsidRDefault="00542100">
      <w:pPr>
        <w:rPr>
          <w:b/>
        </w:rPr>
      </w:pPr>
    </w:p>
    <w:p w14:paraId="7ED65939" w14:textId="77777777" w:rsidR="00D83FEA" w:rsidRDefault="0001270D" w:rsidP="00F6246D">
      <w:pPr>
        <w:pStyle w:val="ListParagraph"/>
        <w:numPr>
          <w:ilvl w:val="0"/>
          <w:numId w:val="1"/>
        </w:numPr>
      </w:pPr>
      <w:r>
        <w:t>One of every seven adults in California</w:t>
      </w:r>
      <w:r w:rsidR="000C30C1">
        <w:t xml:space="preserve"> report that they struggle to consistently p</w:t>
      </w:r>
      <w:r>
        <w:t>ut enough food on their table.</w:t>
      </w:r>
      <w:r w:rsidR="00D83FEA">
        <w:rPr>
          <w:rStyle w:val="EndnoteReference"/>
        </w:rPr>
        <w:endnoteReference w:id="1"/>
      </w:r>
      <w:r w:rsidR="00D83FEA">
        <w:t xml:space="preserve"> This food insecurity exists even with the </w:t>
      </w:r>
      <w:proofErr w:type="spellStart"/>
      <w:r w:rsidR="00D83FEA">
        <w:t>CalFresh</w:t>
      </w:r>
      <w:proofErr w:type="spellEnd"/>
      <w:r w:rsidR="00D83FEA">
        <w:t xml:space="preserve"> program providing food assistance to 4 million Californians.</w:t>
      </w:r>
      <w:r w:rsidR="00D83FEA">
        <w:rPr>
          <w:rStyle w:val="EndnoteReference"/>
        </w:rPr>
        <w:endnoteReference w:id="2"/>
      </w:r>
    </w:p>
    <w:p w14:paraId="0029DF9D" w14:textId="77777777" w:rsidR="00D83FEA" w:rsidRDefault="00D83FEA" w:rsidP="00BF5955"/>
    <w:p w14:paraId="5271D5CA" w14:textId="11B2D41B" w:rsidR="0095706B" w:rsidRDefault="0095706B" w:rsidP="00F6246D">
      <w:pPr>
        <w:pStyle w:val="ListParagraph"/>
        <w:numPr>
          <w:ilvl w:val="0"/>
          <w:numId w:val="1"/>
        </w:numPr>
      </w:pPr>
      <w:r>
        <w:t>Among low-income Californians, 29% report that they can only sometimes find affordable fruits and vegetables in their neighborhood and 3% report they never can.</w:t>
      </w:r>
      <w:r>
        <w:rPr>
          <w:rStyle w:val="EndnoteReference"/>
        </w:rPr>
        <w:endnoteReference w:id="3"/>
      </w:r>
      <w:r>
        <w:t xml:space="preserve">  </w:t>
      </w:r>
      <w:r>
        <w:br/>
      </w:r>
    </w:p>
    <w:p w14:paraId="61743FE8" w14:textId="77777777" w:rsidR="00D83FEA" w:rsidRDefault="00D83FEA" w:rsidP="00F6246D">
      <w:pPr>
        <w:pStyle w:val="ListParagraph"/>
        <w:numPr>
          <w:ilvl w:val="0"/>
          <w:numId w:val="1"/>
        </w:numPr>
      </w:pPr>
      <w:r>
        <w:t xml:space="preserve">At the same time, one of every four adults in the state are obese, and nearly one of every ten adults </w:t>
      </w:r>
      <w:proofErr w:type="gramStart"/>
      <w:r>
        <w:t>has</w:t>
      </w:r>
      <w:proofErr w:type="gramEnd"/>
      <w:r>
        <w:t xml:space="preserve"> been diagnosed with diabetes at some point in their life.</w:t>
      </w:r>
      <w:r>
        <w:rPr>
          <w:rStyle w:val="EndnoteReference"/>
        </w:rPr>
        <w:endnoteReference w:id="4"/>
      </w:r>
      <w:r>
        <w:t xml:space="preserve">  </w:t>
      </w:r>
    </w:p>
    <w:p w14:paraId="502BB4D1" w14:textId="77777777" w:rsidR="00D83FEA" w:rsidRDefault="00D83FEA"/>
    <w:p w14:paraId="37C49277" w14:textId="09B1492C" w:rsidR="00D83FEA" w:rsidRDefault="00374EE7" w:rsidP="00A4704B">
      <w:pPr>
        <w:rPr>
          <w:b/>
        </w:rPr>
      </w:pPr>
      <w:r>
        <w:rPr>
          <w:b/>
        </w:rPr>
        <w:t xml:space="preserve">Fruit and </w:t>
      </w:r>
      <w:r w:rsidR="0039514C">
        <w:rPr>
          <w:b/>
        </w:rPr>
        <w:t>vegetable benefit programs i</w:t>
      </w:r>
      <w:r w:rsidR="00763280">
        <w:rPr>
          <w:b/>
        </w:rPr>
        <w:t>mprov</w:t>
      </w:r>
      <w:r w:rsidR="0039514C">
        <w:rPr>
          <w:b/>
        </w:rPr>
        <w:t>e public h</w:t>
      </w:r>
      <w:r w:rsidR="00D83FEA" w:rsidRPr="00A4704B">
        <w:rPr>
          <w:b/>
        </w:rPr>
        <w:t xml:space="preserve">ealth </w:t>
      </w:r>
    </w:p>
    <w:p w14:paraId="24AF7314" w14:textId="77777777" w:rsidR="00542100" w:rsidRPr="00A4704B" w:rsidRDefault="00542100" w:rsidP="00A4704B">
      <w:pPr>
        <w:rPr>
          <w:b/>
        </w:rPr>
      </w:pPr>
    </w:p>
    <w:p w14:paraId="0B339F39" w14:textId="46D2634B" w:rsidR="00D83FEA" w:rsidRDefault="00775B27" w:rsidP="00F6246D">
      <w:pPr>
        <w:pStyle w:val="ListParagraph"/>
        <w:numPr>
          <w:ilvl w:val="0"/>
          <w:numId w:val="2"/>
        </w:numPr>
      </w:pPr>
      <w:r>
        <w:t>I</w:t>
      </w:r>
      <w:r w:rsidR="00D83FEA">
        <w:t>nitiatives that make healthy food more affordable were the most effective at improving consumption of fruits and vegetables</w:t>
      </w:r>
      <w:r>
        <w:t xml:space="preserve"> compared to dozens of other food access interventions</w:t>
      </w:r>
      <w:r w:rsidR="00D83FEA">
        <w:t>.</w:t>
      </w:r>
      <w:r w:rsidR="00F6413C">
        <w:rPr>
          <w:rStyle w:val="EndnoteReference"/>
        </w:rPr>
        <w:endnoteReference w:id="5"/>
      </w:r>
      <w:r w:rsidR="00D83FEA">
        <w:t xml:space="preserve"> </w:t>
      </w:r>
    </w:p>
    <w:p w14:paraId="567005D4" w14:textId="77777777" w:rsidR="00D83FEA" w:rsidRDefault="00D83FEA" w:rsidP="00A4704B"/>
    <w:p w14:paraId="229C71BB" w14:textId="36D030F2" w:rsidR="00D83FEA" w:rsidRDefault="00374EE7" w:rsidP="00F6246D">
      <w:pPr>
        <w:pStyle w:val="ListParagraph"/>
        <w:numPr>
          <w:ilvl w:val="0"/>
          <w:numId w:val="2"/>
        </w:numPr>
      </w:pPr>
      <w:r>
        <w:t>A</w:t>
      </w:r>
      <w:r w:rsidR="00386DDA">
        <w:t>n</w:t>
      </w:r>
      <w:r>
        <w:t xml:space="preserve"> in-depth study of fruit and vegetable benefit program </w:t>
      </w:r>
      <w:r w:rsidR="00D83FEA">
        <w:t xml:space="preserve">in Massachusetts found that when low-income families had more money for fruits and </w:t>
      </w:r>
      <w:proofErr w:type="gramStart"/>
      <w:r w:rsidR="00D83FEA">
        <w:t>vegetables</w:t>
      </w:r>
      <w:proofErr w:type="gramEnd"/>
      <w:r w:rsidR="00D83FEA">
        <w:t xml:space="preserve"> they increased their consumption of fruits and vegetables in a nutritionally significant way.</w:t>
      </w:r>
      <w:bookmarkStart w:id="1" w:name="_Ref367028832"/>
      <w:r w:rsidR="00D83FEA">
        <w:rPr>
          <w:rStyle w:val="EndnoteReference"/>
        </w:rPr>
        <w:endnoteReference w:id="6"/>
      </w:r>
      <w:bookmarkEnd w:id="1"/>
      <w:r w:rsidR="00D83FEA">
        <w:t xml:space="preserve"> </w:t>
      </w:r>
    </w:p>
    <w:p w14:paraId="66C3D2FF" w14:textId="77777777" w:rsidR="00D83FEA" w:rsidRDefault="00D83FEA" w:rsidP="00A4704B"/>
    <w:p w14:paraId="01826618" w14:textId="77777777" w:rsidR="00D83FEA" w:rsidRDefault="00D83FEA" w:rsidP="00F6246D">
      <w:pPr>
        <w:pStyle w:val="ListParagraph"/>
        <w:numPr>
          <w:ilvl w:val="0"/>
          <w:numId w:val="2"/>
        </w:numPr>
      </w:pPr>
      <w:r>
        <w:t>Additional studies have modeled that programs that increase fruit and vegetable consumption would lead to a decrease in Type 2 Diabetes, cardiovascular disease, heart attacks, and stroke.</w:t>
      </w:r>
      <w:r>
        <w:rPr>
          <w:rStyle w:val="EndnoteReference"/>
        </w:rPr>
        <w:endnoteReference w:id="7"/>
      </w:r>
      <w:r>
        <w:t xml:space="preserve"> </w:t>
      </w:r>
    </w:p>
    <w:p w14:paraId="029357F3" w14:textId="77777777" w:rsidR="00D83FEA" w:rsidRDefault="00D83FEA"/>
    <w:p w14:paraId="69A1C5B7" w14:textId="650D0AEB" w:rsidR="00D83FEA" w:rsidRDefault="00374EE7">
      <w:pPr>
        <w:rPr>
          <w:b/>
        </w:rPr>
      </w:pPr>
      <w:r>
        <w:rPr>
          <w:b/>
        </w:rPr>
        <w:t xml:space="preserve">Fruit and </w:t>
      </w:r>
      <w:r w:rsidR="0039514C">
        <w:rPr>
          <w:b/>
        </w:rPr>
        <w:t>vegetable benefit programs</w:t>
      </w:r>
      <w:r w:rsidR="0039514C" w:rsidRPr="00891296">
        <w:rPr>
          <w:b/>
        </w:rPr>
        <w:t xml:space="preserve"> help low-income families stretch their food budgets</w:t>
      </w:r>
    </w:p>
    <w:p w14:paraId="79DE7983" w14:textId="77777777" w:rsidR="00542100" w:rsidRPr="00891296" w:rsidRDefault="00542100">
      <w:pPr>
        <w:rPr>
          <w:b/>
        </w:rPr>
      </w:pPr>
    </w:p>
    <w:p w14:paraId="4F82CDAD" w14:textId="05201170" w:rsidR="00B94E22" w:rsidRDefault="00D83FEA" w:rsidP="00E15300">
      <w:pPr>
        <w:pStyle w:val="ListParagraph"/>
        <w:numPr>
          <w:ilvl w:val="0"/>
          <w:numId w:val="3"/>
        </w:numPr>
      </w:pPr>
      <w:r>
        <w:t xml:space="preserve">The vast majority (93%) of </w:t>
      </w:r>
      <w:proofErr w:type="spellStart"/>
      <w:r>
        <w:t>CalFresh</w:t>
      </w:r>
      <w:proofErr w:type="spellEnd"/>
      <w:r>
        <w:t xml:space="preserve"> participants in the Double Up Food Bucks project in Santa Clara County reported </w:t>
      </w:r>
      <w:r w:rsidR="00D02473">
        <w:t xml:space="preserve">that by </w:t>
      </w:r>
      <w:r>
        <w:t xml:space="preserve">using </w:t>
      </w:r>
      <w:r w:rsidR="0095706B">
        <w:t>fruit and vegetable benefits</w:t>
      </w:r>
      <w:r>
        <w:t xml:space="preserve"> they had more money for other food, in addition to fruits and vegetables.</w:t>
      </w:r>
      <w:r>
        <w:rPr>
          <w:rStyle w:val="EndnoteReference"/>
        </w:rPr>
        <w:endnoteReference w:id="8"/>
      </w:r>
      <w:r>
        <w:t xml:space="preserve"> </w:t>
      </w:r>
      <w:r w:rsidR="00374EE7">
        <w:br/>
      </w:r>
    </w:p>
    <w:p w14:paraId="7BF4E762" w14:textId="006078D8" w:rsidR="00763280" w:rsidRDefault="00763280" w:rsidP="00E15300">
      <w:pPr>
        <w:pStyle w:val="ListParagraph"/>
        <w:numPr>
          <w:ilvl w:val="0"/>
          <w:numId w:val="3"/>
        </w:numPr>
      </w:pPr>
      <w:r>
        <w:t xml:space="preserve">A </w:t>
      </w:r>
      <w:r w:rsidR="00D64A69">
        <w:t xml:space="preserve">recent </w:t>
      </w:r>
      <w:r>
        <w:t>study</w:t>
      </w:r>
      <w:r w:rsidR="00D64A69">
        <w:t xml:space="preserve"> </w:t>
      </w:r>
      <w:r w:rsidR="00AB0DAE">
        <w:t>found</w:t>
      </w:r>
      <w:r w:rsidR="00D64A69">
        <w:t xml:space="preserve"> that for many families, SNAP benefits </w:t>
      </w:r>
      <w:r w:rsidR="00792467">
        <w:t xml:space="preserve">alone </w:t>
      </w:r>
      <w:r w:rsidR="00D64A69">
        <w:t>do not provide enough money for families to meet the USDA’s nutrition and dietary guidelines for fruits and vegetables.</w:t>
      </w:r>
      <w:r w:rsidR="00D64A69">
        <w:rPr>
          <w:rStyle w:val="EndnoteReference"/>
        </w:rPr>
        <w:endnoteReference w:id="9"/>
      </w:r>
      <w:r w:rsidR="00D64A69">
        <w:t xml:space="preserve"> </w:t>
      </w:r>
    </w:p>
    <w:p w14:paraId="2CFA859C" w14:textId="77777777" w:rsidR="00B94E22" w:rsidRDefault="00B94E22"/>
    <w:p w14:paraId="21E47961" w14:textId="0143AFC2" w:rsidR="00B94E22" w:rsidRDefault="00374EE7" w:rsidP="00AB0DAE">
      <w:pPr>
        <w:keepNext/>
        <w:keepLines/>
        <w:rPr>
          <w:b/>
        </w:rPr>
      </w:pPr>
      <w:r>
        <w:rPr>
          <w:b/>
        </w:rPr>
        <w:lastRenderedPageBreak/>
        <w:t xml:space="preserve">Fruit </w:t>
      </w:r>
      <w:r w:rsidR="0039514C">
        <w:rPr>
          <w:b/>
        </w:rPr>
        <w:t>and vegetable benefit p</w:t>
      </w:r>
      <w:r>
        <w:rPr>
          <w:b/>
        </w:rPr>
        <w:t>rograms</w:t>
      </w:r>
      <w:r w:rsidR="0039514C">
        <w:rPr>
          <w:b/>
        </w:rPr>
        <w:t xml:space="preserve"> support California f</w:t>
      </w:r>
      <w:r w:rsidR="00B94E22" w:rsidRPr="00D02473">
        <w:rPr>
          <w:b/>
        </w:rPr>
        <w:t>armers</w:t>
      </w:r>
    </w:p>
    <w:p w14:paraId="66E8A015" w14:textId="77777777" w:rsidR="00542100" w:rsidRPr="00D02473" w:rsidRDefault="00542100" w:rsidP="00AB0DAE">
      <w:pPr>
        <w:keepNext/>
        <w:keepLines/>
        <w:rPr>
          <w:b/>
        </w:rPr>
      </w:pPr>
    </w:p>
    <w:p w14:paraId="1CB55407" w14:textId="4591E95B" w:rsidR="00033A30" w:rsidRDefault="00033A30" w:rsidP="00AB0DAE">
      <w:pPr>
        <w:pStyle w:val="ListParagraph"/>
        <w:keepNext/>
        <w:keepLines/>
        <w:numPr>
          <w:ilvl w:val="0"/>
          <w:numId w:val="3"/>
        </w:numPr>
      </w:pPr>
      <w:r>
        <w:t xml:space="preserve">In 2016, 81% </w:t>
      </w:r>
      <w:r w:rsidRPr="00033A30">
        <w:t>of farmers report</w:t>
      </w:r>
      <w:r>
        <w:t>ed an</w:t>
      </w:r>
      <w:r w:rsidRPr="00033A30">
        <w:t xml:space="preserve"> increase in </w:t>
      </w:r>
      <w:r>
        <w:t xml:space="preserve">their </w:t>
      </w:r>
      <w:r w:rsidRPr="00033A30">
        <w:t xml:space="preserve">sales due to </w:t>
      </w:r>
      <w:r>
        <w:t xml:space="preserve">their participation in </w:t>
      </w:r>
      <w:r w:rsidRPr="00033A30">
        <w:t>Market Match</w:t>
      </w:r>
      <w:r w:rsidR="007F5384">
        <w:t>, a healthy food incentive program</w:t>
      </w:r>
      <w:r w:rsidR="00374EE7">
        <w:t xml:space="preserve"> at farmer</w:t>
      </w:r>
      <w:r>
        <w:t>s</w:t>
      </w:r>
      <w:r w:rsidR="00374EE7">
        <w:t>’</w:t>
      </w:r>
      <w:r>
        <w:t xml:space="preserve"> markets across California</w:t>
      </w:r>
      <w:r w:rsidRPr="00033A30">
        <w:t>.</w:t>
      </w:r>
      <w:r w:rsidR="001320AC">
        <w:rPr>
          <w:rStyle w:val="EndnoteReference"/>
        </w:rPr>
        <w:endnoteReference w:id="10"/>
      </w:r>
      <w:r>
        <w:br/>
      </w:r>
    </w:p>
    <w:p w14:paraId="0F777C18" w14:textId="203FF228" w:rsidR="00B94E22" w:rsidRDefault="00374EE7" w:rsidP="00AB0DAE">
      <w:pPr>
        <w:pStyle w:val="ListParagraph"/>
        <w:keepNext/>
        <w:keepLines/>
        <w:numPr>
          <w:ilvl w:val="0"/>
          <w:numId w:val="3"/>
        </w:numPr>
      </w:pPr>
      <w:r>
        <w:t>Statewide expansion of fruit and vegetable benefit programs at grocery stores and farmers’ markets could lead to</w:t>
      </w:r>
      <w:r w:rsidR="002022CB">
        <w:t xml:space="preserve"> $100 - </w:t>
      </w:r>
      <w:r w:rsidR="00DE0F88">
        <w:t>400 million in</w:t>
      </w:r>
      <w:r w:rsidR="002022CB">
        <w:t xml:space="preserve"> </w:t>
      </w:r>
      <w:r>
        <w:t xml:space="preserve">new </w:t>
      </w:r>
      <w:r w:rsidR="002022CB">
        <w:t>sales of</w:t>
      </w:r>
      <w:r w:rsidR="00DE0F88">
        <w:t xml:space="preserve"> fruit and </w:t>
      </w:r>
      <w:r w:rsidR="002022CB">
        <w:t>vegetables</w:t>
      </w:r>
      <w:r w:rsidR="00DE0F88">
        <w:t>.</w:t>
      </w:r>
      <w:r w:rsidR="00B422AF">
        <w:rPr>
          <w:rStyle w:val="EndnoteReference"/>
        </w:rPr>
        <w:endnoteReference w:id="11"/>
      </w:r>
    </w:p>
    <w:p w14:paraId="5E47E761" w14:textId="77777777" w:rsidR="00DE0F88" w:rsidRDefault="00DE0F88" w:rsidP="00B422AF">
      <w:pPr>
        <w:pStyle w:val="ListParagraph"/>
      </w:pPr>
    </w:p>
    <w:p w14:paraId="39C411ED" w14:textId="73982625" w:rsidR="00B40D9E" w:rsidRDefault="0039514C">
      <w:pPr>
        <w:rPr>
          <w:b/>
        </w:rPr>
      </w:pPr>
      <w:r>
        <w:rPr>
          <w:b/>
        </w:rPr>
        <w:t xml:space="preserve">Fruit and vegetable benefit programs </w:t>
      </w:r>
      <w:r w:rsidR="00A15A81" w:rsidRPr="00CB0B9A">
        <w:rPr>
          <w:b/>
        </w:rPr>
        <w:t>could have a g</w:t>
      </w:r>
      <w:r w:rsidR="00B40D9E" w:rsidRPr="00CB0B9A">
        <w:rPr>
          <w:b/>
        </w:rPr>
        <w:t>reater impact on hunger, health, and California agricu</w:t>
      </w:r>
      <w:r w:rsidR="00A15A81" w:rsidRPr="00CB0B9A">
        <w:rPr>
          <w:b/>
        </w:rPr>
        <w:t>lture if they were a</w:t>
      </w:r>
      <w:r w:rsidR="00B40D9E" w:rsidRPr="00CB0B9A">
        <w:rPr>
          <w:b/>
        </w:rPr>
        <w:t xml:space="preserve">vailable on the </w:t>
      </w:r>
      <w:proofErr w:type="spellStart"/>
      <w:r w:rsidR="00B40D9E" w:rsidRPr="00CB0B9A">
        <w:rPr>
          <w:b/>
        </w:rPr>
        <w:t>CalFresh</w:t>
      </w:r>
      <w:proofErr w:type="spellEnd"/>
      <w:r w:rsidR="00B40D9E" w:rsidRPr="00CB0B9A">
        <w:rPr>
          <w:b/>
        </w:rPr>
        <w:t xml:space="preserve"> EBT Card</w:t>
      </w:r>
    </w:p>
    <w:p w14:paraId="05522B76" w14:textId="77777777" w:rsidR="00542100" w:rsidRDefault="00542100"/>
    <w:p w14:paraId="31F072A9" w14:textId="68D1D125" w:rsidR="00B94E22" w:rsidRDefault="00B40D9E" w:rsidP="004E5846">
      <w:pPr>
        <w:pStyle w:val="ListParagraph"/>
        <w:numPr>
          <w:ilvl w:val="0"/>
          <w:numId w:val="4"/>
        </w:numPr>
      </w:pPr>
      <w:r>
        <w:t>Californians w</w:t>
      </w:r>
      <w:r w:rsidR="00B94E22">
        <w:t xml:space="preserve">ould </w:t>
      </w:r>
      <w:r w:rsidR="00CB0B9A">
        <w:t xml:space="preserve">see greater </w:t>
      </w:r>
      <w:r w:rsidR="00B94E22">
        <w:t>benefit</w:t>
      </w:r>
      <w:r w:rsidR="00CB0B9A">
        <w:t>s</w:t>
      </w:r>
      <w:r w:rsidR="00B94E22">
        <w:t xml:space="preserve"> from </w:t>
      </w:r>
      <w:r w:rsidR="0039514C">
        <w:t>fruit and vegetable benefit programs</w:t>
      </w:r>
      <w:r w:rsidR="00B94E22">
        <w:t xml:space="preserve"> </w:t>
      </w:r>
      <w:r w:rsidR="00CB0B9A">
        <w:t xml:space="preserve">if they were offered </w:t>
      </w:r>
      <w:r w:rsidR="00B94E22">
        <w:t xml:space="preserve">at grocery stores and farmers markets </w:t>
      </w:r>
      <w:r w:rsidR="00CB0B9A">
        <w:t>statewide</w:t>
      </w:r>
      <w:r w:rsidR="005B1614">
        <w:t xml:space="preserve">. </w:t>
      </w:r>
      <w:r w:rsidR="00B94E22">
        <w:t xml:space="preserve">The next step to expand their reach is to </w:t>
      </w:r>
      <w:r w:rsidR="00970C97">
        <w:t xml:space="preserve">make </w:t>
      </w:r>
      <w:r w:rsidR="0039514C">
        <w:t>these benefits</w:t>
      </w:r>
      <w:r w:rsidR="00970C97">
        <w:t xml:space="preserve"> simple to use, easy to administer, and</w:t>
      </w:r>
      <w:r w:rsidR="00CB0B9A">
        <w:t xml:space="preserve"> painless to</w:t>
      </w:r>
      <w:r w:rsidR="00970C97">
        <w:t xml:space="preserve"> </w:t>
      </w:r>
      <w:r w:rsidR="00CB0B9A">
        <w:t>incorporate</w:t>
      </w:r>
      <w:r w:rsidR="00970C97">
        <w:t xml:space="preserve"> into</w:t>
      </w:r>
      <w:r w:rsidR="00CB0B9A">
        <w:t xml:space="preserve"> existing business operations. </w:t>
      </w:r>
    </w:p>
    <w:p w14:paraId="35296857" w14:textId="77777777" w:rsidR="00CB0B9A" w:rsidRDefault="00CB0B9A"/>
    <w:p w14:paraId="6F7B48D4" w14:textId="5086320A" w:rsidR="005B1614" w:rsidRDefault="00CB0B9A" w:rsidP="004E5846">
      <w:pPr>
        <w:pStyle w:val="ListParagraph"/>
        <w:numPr>
          <w:ilvl w:val="0"/>
          <w:numId w:val="4"/>
        </w:numPr>
      </w:pPr>
      <w:r>
        <w:t>Massachusetts and Puerto Rico</w:t>
      </w:r>
      <w:r w:rsidR="005B1614">
        <w:t>, pursuing different models,</w:t>
      </w:r>
      <w:r>
        <w:t xml:space="preserve"> have both integrated </w:t>
      </w:r>
      <w:r w:rsidR="0039514C">
        <w:t>fruit and vegetable benefit programs</w:t>
      </w:r>
      <w:r>
        <w:t xml:space="preserve"> in</w:t>
      </w:r>
      <w:r w:rsidR="005B1614">
        <w:t>to their respective EBT systems.</w:t>
      </w:r>
      <w:r w:rsidR="004E5846">
        <w:rPr>
          <w:rStyle w:val="EndnoteReference"/>
        </w:rPr>
        <w:endnoteReference w:id="12"/>
      </w:r>
      <w:r w:rsidR="005B1614">
        <w:t xml:space="preserve"> </w:t>
      </w:r>
    </w:p>
    <w:p w14:paraId="5EB926A5" w14:textId="77777777" w:rsidR="005B1614" w:rsidRDefault="005B1614"/>
    <w:p w14:paraId="10949E09" w14:textId="2E000608" w:rsidR="00CB0B9A" w:rsidRDefault="005B1614" w:rsidP="004E5846">
      <w:pPr>
        <w:pStyle w:val="ListParagraph"/>
        <w:numPr>
          <w:ilvl w:val="0"/>
          <w:numId w:val="4"/>
        </w:numPr>
      </w:pPr>
      <w:r>
        <w:t>California has the opportunity to build on previous efforts, both within the state and nationwide, and be a pioneer in making</w:t>
      </w:r>
      <w:r w:rsidR="004E5846">
        <w:t xml:space="preserve"> healthy food more affordable. </w:t>
      </w:r>
      <w:r>
        <w:t xml:space="preserve">To lead the way, the state should begin a pilot initiative that allows </w:t>
      </w:r>
      <w:proofErr w:type="spellStart"/>
      <w:r>
        <w:t>CalFresh</w:t>
      </w:r>
      <w:proofErr w:type="spellEnd"/>
      <w:r>
        <w:t xml:space="preserve"> participants to earn and redeem </w:t>
      </w:r>
      <w:r w:rsidR="0039514C">
        <w:t>fruit and vegetable benefits</w:t>
      </w:r>
      <w:r w:rsidR="004E5846">
        <w:t xml:space="preserve"> on their EBT card</w:t>
      </w:r>
      <w:r>
        <w:t xml:space="preserve"> at grocery stores and farmers’ markets. </w:t>
      </w:r>
    </w:p>
    <w:p w14:paraId="706B94C2" w14:textId="77777777" w:rsidR="00B40D9E" w:rsidRDefault="00B40D9E"/>
    <w:sectPr w:rsidR="00B40D9E" w:rsidSect="00AB0DAE">
      <w:footerReference w:type="default" r:id="rId8"/>
      <w:endnotePr>
        <w:numFmt w:val="decimal"/>
      </w:endnotePr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8707D" w14:textId="77777777" w:rsidR="007D668C" w:rsidRDefault="007D668C" w:rsidP="0001270D">
      <w:r>
        <w:separator/>
      </w:r>
    </w:p>
  </w:endnote>
  <w:endnote w:type="continuationSeparator" w:id="0">
    <w:p w14:paraId="6B723AC1" w14:textId="77777777" w:rsidR="007D668C" w:rsidRDefault="007D668C" w:rsidP="0001270D">
      <w:r>
        <w:continuationSeparator/>
      </w:r>
    </w:p>
  </w:endnote>
  <w:endnote w:id="1">
    <w:p w14:paraId="767C8F29" w14:textId="77777777" w:rsidR="00374EE7" w:rsidRPr="00AB0DAE" w:rsidRDefault="00374EE7">
      <w:pPr>
        <w:pStyle w:val="EndnoteText"/>
        <w:rPr>
          <w:sz w:val="20"/>
          <w:szCs w:val="20"/>
        </w:rPr>
      </w:pPr>
      <w:r w:rsidRPr="00AB0DAE">
        <w:rPr>
          <w:rStyle w:val="EndnoteReference"/>
          <w:sz w:val="20"/>
          <w:szCs w:val="20"/>
        </w:rPr>
        <w:endnoteRef/>
      </w:r>
      <w:r w:rsidRPr="00AB0DAE">
        <w:rPr>
          <w:sz w:val="20"/>
          <w:szCs w:val="20"/>
        </w:rPr>
        <w:t xml:space="preserve"> UCLA Center for Health Policy Research, </w:t>
      </w:r>
      <w:r w:rsidRPr="00AB0DAE">
        <w:rPr>
          <w:i/>
          <w:sz w:val="20"/>
          <w:szCs w:val="20"/>
        </w:rPr>
        <w:t>Adult Health Profiles 2013-14</w:t>
      </w:r>
      <w:r w:rsidRPr="00AB0DAE">
        <w:rPr>
          <w:sz w:val="20"/>
          <w:szCs w:val="20"/>
        </w:rPr>
        <w:t>, http://healthpolicy.ucla.edu/health-profiles/adults/Pages/dashboard.aspx</w:t>
      </w:r>
    </w:p>
  </w:endnote>
  <w:endnote w:id="2">
    <w:p w14:paraId="238D19F9" w14:textId="77777777" w:rsidR="00374EE7" w:rsidRPr="00AB0DAE" w:rsidRDefault="00374EE7">
      <w:pPr>
        <w:pStyle w:val="EndnoteText"/>
        <w:rPr>
          <w:sz w:val="20"/>
          <w:szCs w:val="20"/>
        </w:rPr>
      </w:pPr>
      <w:r w:rsidRPr="00AB0DAE">
        <w:rPr>
          <w:rStyle w:val="EndnoteReference"/>
          <w:sz w:val="20"/>
          <w:szCs w:val="20"/>
        </w:rPr>
        <w:endnoteRef/>
      </w:r>
      <w:r w:rsidRPr="00AB0DAE">
        <w:rPr>
          <w:sz w:val="20"/>
          <w:szCs w:val="20"/>
        </w:rPr>
        <w:t xml:space="preserve"> California Food Policy Advocates, “Nutrition and Food Insecurity Profile”, </w:t>
      </w:r>
      <w:proofErr w:type="spellStart"/>
      <w:r w:rsidRPr="00AB0DAE">
        <w:rPr>
          <w:sz w:val="20"/>
          <w:szCs w:val="20"/>
        </w:rPr>
        <w:t>CalFresh</w:t>
      </w:r>
      <w:proofErr w:type="spellEnd"/>
      <w:r w:rsidRPr="00AB0DAE">
        <w:rPr>
          <w:sz w:val="20"/>
          <w:szCs w:val="20"/>
        </w:rPr>
        <w:t xml:space="preserve"> Individuals Participating as of Feb 2016, http://cfpa.net/county-profiles</w:t>
      </w:r>
    </w:p>
  </w:endnote>
  <w:endnote w:id="3">
    <w:p w14:paraId="74238504" w14:textId="77777777" w:rsidR="0095706B" w:rsidRPr="00AB0DAE" w:rsidRDefault="0095706B">
      <w:pPr>
        <w:pStyle w:val="EndnoteText"/>
        <w:rPr>
          <w:sz w:val="20"/>
          <w:szCs w:val="20"/>
        </w:rPr>
      </w:pPr>
      <w:r w:rsidRPr="00AB0DAE">
        <w:rPr>
          <w:rStyle w:val="EndnoteReference"/>
          <w:sz w:val="20"/>
          <w:szCs w:val="20"/>
        </w:rPr>
        <w:endnoteRef/>
      </w:r>
      <w:r w:rsidRPr="00AB0DAE">
        <w:rPr>
          <w:sz w:val="20"/>
          <w:szCs w:val="20"/>
        </w:rPr>
        <w:t xml:space="preserve"> UCLA Center for Health Policy Research, 2015 California </w:t>
      </w:r>
      <w:proofErr w:type="spellStart"/>
      <w:r w:rsidRPr="00AB0DAE">
        <w:rPr>
          <w:sz w:val="20"/>
          <w:szCs w:val="20"/>
        </w:rPr>
        <w:t>Healthy</w:t>
      </w:r>
      <w:proofErr w:type="spellEnd"/>
      <w:r w:rsidRPr="00AB0DAE">
        <w:rPr>
          <w:sz w:val="20"/>
          <w:szCs w:val="20"/>
        </w:rPr>
        <w:t xml:space="preserve"> Interview Survey: http://healthpolicy.ucl</w:t>
      </w:r>
      <w:r>
        <w:rPr>
          <w:sz w:val="20"/>
          <w:szCs w:val="20"/>
        </w:rPr>
        <w:t xml:space="preserve">a.edu/chis/Pages/default.aspx. </w:t>
      </w:r>
      <w:r w:rsidRPr="00AB0DAE">
        <w:rPr>
          <w:sz w:val="20"/>
          <w:szCs w:val="20"/>
        </w:rPr>
        <w:t xml:space="preserve">Low-income defined as households up to 200% of the federal poverty level. </w:t>
      </w:r>
    </w:p>
  </w:endnote>
  <w:endnote w:id="4">
    <w:p w14:paraId="772A2585" w14:textId="77777777" w:rsidR="00374EE7" w:rsidRPr="00AB0DAE" w:rsidRDefault="00374EE7">
      <w:pPr>
        <w:pStyle w:val="EndnoteText"/>
        <w:rPr>
          <w:sz w:val="20"/>
          <w:szCs w:val="20"/>
        </w:rPr>
      </w:pPr>
      <w:r w:rsidRPr="00AB0DAE">
        <w:rPr>
          <w:rStyle w:val="EndnoteReference"/>
          <w:sz w:val="20"/>
          <w:szCs w:val="20"/>
        </w:rPr>
        <w:endnoteRef/>
      </w:r>
      <w:r w:rsidRPr="00AB0DAE">
        <w:rPr>
          <w:sz w:val="20"/>
          <w:szCs w:val="20"/>
        </w:rPr>
        <w:t xml:space="preserve"> UCLA Center for Health Policy Research, </w:t>
      </w:r>
      <w:r w:rsidRPr="00AB0DAE">
        <w:rPr>
          <w:i/>
          <w:sz w:val="20"/>
          <w:szCs w:val="20"/>
        </w:rPr>
        <w:t>Adult Health Profiles 2013-14</w:t>
      </w:r>
      <w:r w:rsidRPr="00AB0DAE">
        <w:rPr>
          <w:sz w:val="20"/>
          <w:szCs w:val="20"/>
        </w:rPr>
        <w:t>, http://healthpolicy.ucla.edu/health-profiles/adults/Pages/dashboard.aspx</w:t>
      </w:r>
    </w:p>
  </w:endnote>
  <w:endnote w:id="5">
    <w:p w14:paraId="14FC6E32" w14:textId="69D4CDEE" w:rsidR="00374EE7" w:rsidRPr="00AB0DAE" w:rsidRDefault="00374EE7" w:rsidP="00F6413C">
      <w:pPr>
        <w:pStyle w:val="EndnoteText"/>
        <w:rPr>
          <w:sz w:val="20"/>
          <w:szCs w:val="20"/>
        </w:rPr>
      </w:pPr>
      <w:r w:rsidRPr="00AB0DAE">
        <w:rPr>
          <w:rStyle w:val="EndnoteReference"/>
          <w:sz w:val="20"/>
          <w:szCs w:val="20"/>
        </w:rPr>
        <w:endnoteRef/>
      </w:r>
      <w:r w:rsidRPr="00AB0DAE">
        <w:rPr>
          <w:sz w:val="20"/>
          <w:szCs w:val="20"/>
        </w:rPr>
        <w:t xml:space="preserve"> </w:t>
      </w:r>
      <w:proofErr w:type="spellStart"/>
      <w:r w:rsidRPr="00AB0DAE">
        <w:rPr>
          <w:sz w:val="20"/>
          <w:szCs w:val="20"/>
        </w:rPr>
        <w:t>Blondin</w:t>
      </w:r>
      <w:proofErr w:type="spellEnd"/>
      <w:r w:rsidRPr="00AB0DAE">
        <w:rPr>
          <w:sz w:val="20"/>
          <w:szCs w:val="20"/>
        </w:rPr>
        <w:t xml:space="preserve">, Kelly et al, </w:t>
      </w:r>
      <w:r w:rsidRPr="00AB0DAE">
        <w:rPr>
          <w:i/>
          <w:sz w:val="20"/>
          <w:szCs w:val="20"/>
        </w:rPr>
        <w:t xml:space="preserve">Review of the Evidence: Health Promotion Strategies for Retail Food Shopping Venues, </w:t>
      </w:r>
      <w:r w:rsidRPr="00AB0DAE">
        <w:rPr>
          <w:sz w:val="20"/>
          <w:szCs w:val="20"/>
        </w:rPr>
        <w:t>University of California Nutrition Policy Institute, prepared for California Department of Public Health, September 2016.</w:t>
      </w:r>
    </w:p>
  </w:endnote>
  <w:endnote w:id="6">
    <w:p w14:paraId="1DD1114F" w14:textId="77777777" w:rsidR="00374EE7" w:rsidRPr="00AB0DAE" w:rsidRDefault="00374EE7">
      <w:pPr>
        <w:pStyle w:val="EndnoteText"/>
        <w:rPr>
          <w:sz w:val="20"/>
          <w:szCs w:val="20"/>
        </w:rPr>
      </w:pPr>
      <w:r w:rsidRPr="00AB0DAE">
        <w:rPr>
          <w:rStyle w:val="EndnoteReference"/>
          <w:sz w:val="20"/>
          <w:szCs w:val="20"/>
        </w:rPr>
        <w:endnoteRef/>
      </w:r>
      <w:r w:rsidRPr="00AB0DAE">
        <w:rPr>
          <w:sz w:val="20"/>
          <w:szCs w:val="20"/>
        </w:rPr>
        <w:t xml:space="preserve"> Bartlett, Susan, Jacob </w:t>
      </w:r>
      <w:proofErr w:type="spellStart"/>
      <w:r w:rsidRPr="00AB0DAE">
        <w:rPr>
          <w:sz w:val="20"/>
          <w:szCs w:val="20"/>
        </w:rPr>
        <w:t>Klerman</w:t>
      </w:r>
      <w:proofErr w:type="spellEnd"/>
      <w:r w:rsidRPr="00AB0DAE">
        <w:rPr>
          <w:sz w:val="20"/>
          <w:szCs w:val="20"/>
        </w:rPr>
        <w:t xml:space="preserve">, Lauren </w:t>
      </w:r>
      <w:proofErr w:type="spellStart"/>
      <w:r w:rsidRPr="00AB0DAE">
        <w:rPr>
          <w:sz w:val="20"/>
          <w:szCs w:val="20"/>
        </w:rPr>
        <w:t>Olsho</w:t>
      </w:r>
      <w:proofErr w:type="spellEnd"/>
      <w:r w:rsidRPr="00AB0DAE">
        <w:rPr>
          <w:sz w:val="20"/>
          <w:szCs w:val="20"/>
        </w:rPr>
        <w:t xml:space="preserve">, et al. </w:t>
      </w:r>
      <w:r w:rsidRPr="00AB0DAE">
        <w:rPr>
          <w:i/>
          <w:sz w:val="20"/>
          <w:szCs w:val="20"/>
        </w:rPr>
        <w:t>Evaluation of the Healthy Incentives Pilot (HIP): Final Report</w:t>
      </w:r>
      <w:r w:rsidRPr="00AB0DAE">
        <w:rPr>
          <w:sz w:val="20"/>
          <w:szCs w:val="20"/>
        </w:rPr>
        <w:t xml:space="preserve">. Prepared by </w:t>
      </w:r>
      <w:proofErr w:type="spellStart"/>
      <w:r w:rsidRPr="00AB0DAE">
        <w:rPr>
          <w:sz w:val="20"/>
          <w:szCs w:val="20"/>
        </w:rPr>
        <w:t>Abt</w:t>
      </w:r>
      <w:proofErr w:type="spellEnd"/>
      <w:r w:rsidRPr="00AB0DAE">
        <w:rPr>
          <w:sz w:val="20"/>
          <w:szCs w:val="20"/>
        </w:rPr>
        <w:t xml:space="preserve"> Associates for the U.S. Department of Agriculture, Food and Nutrition Service, September 2014.</w:t>
      </w:r>
    </w:p>
  </w:endnote>
  <w:endnote w:id="7">
    <w:p w14:paraId="0D34FC98" w14:textId="463DF716" w:rsidR="00374EE7" w:rsidRPr="00AB0DAE" w:rsidRDefault="00374EE7">
      <w:pPr>
        <w:pStyle w:val="EndnoteText"/>
        <w:rPr>
          <w:sz w:val="20"/>
          <w:szCs w:val="20"/>
        </w:rPr>
      </w:pPr>
      <w:r w:rsidRPr="00AB0DAE">
        <w:rPr>
          <w:rStyle w:val="EndnoteReference"/>
          <w:sz w:val="20"/>
          <w:szCs w:val="20"/>
        </w:rPr>
        <w:endnoteRef/>
      </w:r>
      <w:r w:rsidRPr="00AB0DAE">
        <w:rPr>
          <w:sz w:val="20"/>
          <w:szCs w:val="20"/>
        </w:rPr>
        <w:t xml:space="preserve"> Choi, Sung </w:t>
      </w:r>
      <w:proofErr w:type="spellStart"/>
      <w:r w:rsidRPr="00AB0DAE">
        <w:rPr>
          <w:sz w:val="20"/>
          <w:szCs w:val="20"/>
        </w:rPr>
        <w:t>Eun</w:t>
      </w:r>
      <w:proofErr w:type="spellEnd"/>
      <w:r w:rsidRPr="00AB0DAE">
        <w:rPr>
          <w:sz w:val="20"/>
          <w:szCs w:val="20"/>
        </w:rPr>
        <w:t xml:space="preserve"> et al, “Cost Effectiveness of Subsidizing Fruit and Vegetable Purchases Through the Supplemental Nutrition Assistance Program,” </w:t>
      </w:r>
      <w:r w:rsidRPr="00AB0DAE">
        <w:rPr>
          <w:i/>
          <w:sz w:val="20"/>
          <w:szCs w:val="20"/>
        </w:rPr>
        <w:t>American Journal of Preventive Medicine</w:t>
      </w:r>
      <w:r w:rsidRPr="00AB0DAE">
        <w:rPr>
          <w:sz w:val="20"/>
          <w:szCs w:val="20"/>
        </w:rPr>
        <w:t>, Vol. 52 , Issue 5, May 2017.  See also:  Pearson-</w:t>
      </w:r>
      <w:proofErr w:type="spellStart"/>
      <w:r w:rsidRPr="00AB0DAE">
        <w:rPr>
          <w:sz w:val="20"/>
          <w:szCs w:val="20"/>
        </w:rPr>
        <w:t>Stuttard</w:t>
      </w:r>
      <w:proofErr w:type="spellEnd"/>
      <w:r w:rsidRPr="00AB0DAE">
        <w:rPr>
          <w:sz w:val="20"/>
          <w:szCs w:val="20"/>
        </w:rPr>
        <w:t xml:space="preserve"> J. et al, “Reducing US cardiovascular disease burden and disparities through national and targeted dietary policies: A modelling study,” </w:t>
      </w:r>
      <w:proofErr w:type="spellStart"/>
      <w:r w:rsidRPr="00AB0DAE">
        <w:rPr>
          <w:i/>
          <w:sz w:val="20"/>
          <w:szCs w:val="20"/>
        </w:rPr>
        <w:t>PLoS</w:t>
      </w:r>
      <w:proofErr w:type="spellEnd"/>
      <w:r w:rsidRPr="00AB0DAE">
        <w:rPr>
          <w:i/>
          <w:sz w:val="20"/>
          <w:szCs w:val="20"/>
        </w:rPr>
        <w:t xml:space="preserve"> Med </w:t>
      </w:r>
      <w:r w:rsidRPr="00AB0DAE">
        <w:rPr>
          <w:sz w:val="20"/>
          <w:szCs w:val="20"/>
        </w:rPr>
        <w:t>14(6), June 2017.</w:t>
      </w:r>
    </w:p>
  </w:endnote>
  <w:endnote w:id="8">
    <w:p w14:paraId="44CB1707" w14:textId="77777777" w:rsidR="00374EE7" w:rsidRPr="00AB0DAE" w:rsidRDefault="00374EE7">
      <w:pPr>
        <w:pStyle w:val="EndnoteText"/>
        <w:rPr>
          <w:sz w:val="20"/>
          <w:szCs w:val="20"/>
        </w:rPr>
      </w:pPr>
      <w:r w:rsidRPr="00AB0DAE">
        <w:rPr>
          <w:rStyle w:val="EndnoteReference"/>
          <w:sz w:val="20"/>
          <w:szCs w:val="20"/>
        </w:rPr>
        <w:endnoteRef/>
      </w:r>
      <w:r w:rsidRPr="00AB0DAE">
        <w:rPr>
          <w:sz w:val="20"/>
          <w:szCs w:val="20"/>
        </w:rPr>
        <w:t xml:space="preserve"> John Snow Inc., </w:t>
      </w:r>
      <w:r w:rsidRPr="00AB0DAE">
        <w:rPr>
          <w:i/>
          <w:sz w:val="20"/>
          <w:szCs w:val="20"/>
        </w:rPr>
        <w:t>Santa Clara County Healthy Food Incentives Grocery Project:  DUFB Intercept Survey Report</w:t>
      </w:r>
      <w:r w:rsidRPr="00AB0DAE">
        <w:rPr>
          <w:sz w:val="20"/>
          <w:szCs w:val="20"/>
        </w:rPr>
        <w:t>, September 2017</w:t>
      </w:r>
    </w:p>
  </w:endnote>
  <w:endnote w:id="9">
    <w:p w14:paraId="3DEA6430" w14:textId="4CF03F52" w:rsidR="00374EE7" w:rsidRPr="00AB0DAE" w:rsidRDefault="00374EE7">
      <w:pPr>
        <w:pStyle w:val="EndnoteText"/>
        <w:rPr>
          <w:sz w:val="20"/>
          <w:szCs w:val="20"/>
        </w:rPr>
      </w:pPr>
      <w:r w:rsidRPr="00AB0DAE">
        <w:rPr>
          <w:rStyle w:val="EndnoteReference"/>
          <w:sz w:val="20"/>
          <w:szCs w:val="20"/>
        </w:rPr>
        <w:endnoteRef/>
      </w:r>
      <w:r w:rsidRPr="00AB0DAE">
        <w:rPr>
          <w:sz w:val="20"/>
          <w:szCs w:val="20"/>
        </w:rPr>
        <w:t xml:space="preserve"> </w:t>
      </w:r>
      <w:proofErr w:type="spellStart"/>
      <w:r w:rsidRPr="00AB0DAE">
        <w:rPr>
          <w:sz w:val="20"/>
          <w:szCs w:val="20"/>
        </w:rPr>
        <w:t>Mulik</w:t>
      </w:r>
      <w:proofErr w:type="spellEnd"/>
      <w:r w:rsidRPr="00AB0DAE">
        <w:rPr>
          <w:sz w:val="20"/>
          <w:szCs w:val="20"/>
        </w:rPr>
        <w:t xml:space="preserve">, Kranti et al., “The Affordability of MyPlate: An Analysis of SNAP Benefits and the Actual Cost of Eating According to the Dietary Guidelines”, </w:t>
      </w:r>
      <w:r w:rsidRPr="00AB0DAE">
        <w:rPr>
          <w:i/>
          <w:sz w:val="20"/>
          <w:szCs w:val="20"/>
        </w:rPr>
        <w:t>Journal of Nutrition Education and Behavior</w:t>
      </w:r>
      <w:r w:rsidRPr="00AB0DAE">
        <w:rPr>
          <w:sz w:val="20"/>
          <w:szCs w:val="20"/>
        </w:rPr>
        <w:t>, Vol. 49, Issue 8 (September 2017), 623 – 631.</w:t>
      </w:r>
    </w:p>
  </w:endnote>
  <w:endnote w:id="10">
    <w:p w14:paraId="299B3C24" w14:textId="4E2A424A" w:rsidR="00374EE7" w:rsidRPr="00AB0DAE" w:rsidRDefault="00374EE7">
      <w:pPr>
        <w:pStyle w:val="EndnoteText"/>
        <w:rPr>
          <w:sz w:val="20"/>
          <w:szCs w:val="20"/>
        </w:rPr>
      </w:pPr>
      <w:r w:rsidRPr="00AB0DAE">
        <w:rPr>
          <w:rStyle w:val="EndnoteReference"/>
          <w:sz w:val="20"/>
          <w:szCs w:val="20"/>
        </w:rPr>
        <w:endnoteRef/>
      </w:r>
      <w:r w:rsidRPr="00AB0DAE">
        <w:rPr>
          <w:sz w:val="20"/>
          <w:szCs w:val="20"/>
        </w:rPr>
        <w:t xml:space="preserve"> Ecology Center, </w:t>
      </w:r>
      <w:r w:rsidRPr="00AB0DAE">
        <w:rPr>
          <w:i/>
          <w:sz w:val="20"/>
          <w:szCs w:val="20"/>
        </w:rPr>
        <w:t>Statewide Report on Market Match, 2016</w:t>
      </w:r>
      <w:r w:rsidRPr="00AB0DAE">
        <w:rPr>
          <w:sz w:val="20"/>
          <w:szCs w:val="20"/>
        </w:rPr>
        <w:t>: http://www.marketmatch.org/impact/</w:t>
      </w:r>
    </w:p>
  </w:endnote>
  <w:endnote w:id="11">
    <w:p w14:paraId="28A5C0FA" w14:textId="12EB68FA" w:rsidR="00374EE7" w:rsidRPr="00AB0DAE" w:rsidRDefault="00374EE7">
      <w:pPr>
        <w:pStyle w:val="EndnoteText"/>
        <w:rPr>
          <w:sz w:val="20"/>
          <w:szCs w:val="20"/>
        </w:rPr>
      </w:pPr>
      <w:r w:rsidRPr="00AB0DAE">
        <w:rPr>
          <w:rStyle w:val="EndnoteReference"/>
          <w:sz w:val="20"/>
          <w:szCs w:val="20"/>
        </w:rPr>
        <w:endnoteRef/>
      </w:r>
      <w:r w:rsidRPr="00AB0DAE">
        <w:rPr>
          <w:sz w:val="20"/>
          <w:szCs w:val="20"/>
        </w:rPr>
        <w:t xml:space="preserve"> </w:t>
      </w:r>
      <w:proofErr w:type="spellStart"/>
      <w:r w:rsidRPr="00AB0DAE">
        <w:rPr>
          <w:sz w:val="20"/>
          <w:szCs w:val="20"/>
        </w:rPr>
        <w:t>Bacani</w:t>
      </w:r>
      <w:proofErr w:type="spellEnd"/>
      <w:r w:rsidRPr="00AB0DAE">
        <w:rPr>
          <w:sz w:val="20"/>
          <w:szCs w:val="20"/>
        </w:rPr>
        <w:t xml:space="preserve">, Marc et al, </w:t>
      </w:r>
      <w:r w:rsidRPr="00AB0DAE">
        <w:rPr>
          <w:i/>
          <w:sz w:val="20"/>
          <w:szCs w:val="20"/>
        </w:rPr>
        <w:t>Expanding Market Match: A Healthy Food Incentive Program for Low-Income Californians</w:t>
      </w:r>
      <w:r w:rsidRPr="00AB0DAE">
        <w:rPr>
          <w:sz w:val="20"/>
          <w:szCs w:val="20"/>
        </w:rPr>
        <w:t>, prepared for SPUR, 2015.</w:t>
      </w:r>
    </w:p>
  </w:endnote>
  <w:endnote w:id="12">
    <w:p w14:paraId="340F1235" w14:textId="4244E51F" w:rsidR="00374EE7" w:rsidRDefault="00374EE7">
      <w:pPr>
        <w:pStyle w:val="EndnoteText"/>
      </w:pPr>
      <w:r w:rsidRPr="00AB0DAE">
        <w:rPr>
          <w:rStyle w:val="EndnoteReference"/>
          <w:sz w:val="20"/>
          <w:szCs w:val="20"/>
        </w:rPr>
        <w:endnoteRef/>
      </w:r>
      <w:r>
        <w:rPr>
          <w:sz w:val="20"/>
          <w:szCs w:val="20"/>
        </w:rPr>
        <w:t xml:space="preserve"> </w:t>
      </w:r>
      <w:r w:rsidRPr="00AB0DAE">
        <w:rPr>
          <w:sz w:val="20"/>
          <w:szCs w:val="20"/>
        </w:rPr>
        <w:t xml:space="preserve">For more information on Massachusetts, see endnote </w:t>
      </w:r>
      <w:r w:rsidRPr="00AB0DAE">
        <w:rPr>
          <w:sz w:val="20"/>
          <w:szCs w:val="20"/>
        </w:rPr>
        <w:fldChar w:fldCharType="begin"/>
      </w:r>
      <w:r w:rsidRPr="00AB0DAE">
        <w:rPr>
          <w:sz w:val="20"/>
          <w:szCs w:val="20"/>
        </w:rPr>
        <w:instrText xml:space="preserve"> NOTEREF _Ref367028832 \h </w:instrText>
      </w:r>
      <w:r w:rsidRPr="00AB0DAE">
        <w:rPr>
          <w:sz w:val="20"/>
          <w:szCs w:val="20"/>
        </w:rPr>
      </w:r>
      <w:r w:rsidRPr="00AB0DAE">
        <w:rPr>
          <w:sz w:val="20"/>
          <w:szCs w:val="20"/>
        </w:rPr>
        <w:fldChar w:fldCharType="separate"/>
      </w:r>
      <w:r w:rsidR="00ED49FD">
        <w:rPr>
          <w:sz w:val="20"/>
          <w:szCs w:val="20"/>
        </w:rPr>
        <w:t>6</w:t>
      </w:r>
      <w:r w:rsidRPr="00AB0DA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. </w:t>
      </w:r>
      <w:r w:rsidRPr="00AB0DAE">
        <w:rPr>
          <w:sz w:val="20"/>
          <w:szCs w:val="20"/>
        </w:rPr>
        <w:t>For more information on Puerto Rico, see: http://www.nasda.org/News/43690.aspx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F999" w14:textId="75E6D1F4" w:rsidR="00374EE7" w:rsidRPr="00CC3698" w:rsidRDefault="00374EE7" w:rsidP="00CC3698">
    <w:pPr>
      <w:pStyle w:val="Footer"/>
      <w:jc w:val="center"/>
      <w:rPr>
        <w:rFonts w:ascii="Helvetica" w:hAnsi="Helvetica"/>
        <w:sz w:val="20"/>
        <w:szCs w:val="20"/>
      </w:rPr>
    </w:pPr>
    <w:r w:rsidRPr="00CC3698">
      <w:rPr>
        <w:rFonts w:ascii="Helvetica" w:hAnsi="Helvetica" w:cs="Times New Roman"/>
        <w:sz w:val="20"/>
        <w:szCs w:val="20"/>
      </w:rPr>
      <w:t xml:space="preserve">| </w:t>
    </w:r>
    <w:r w:rsidRPr="00CC3698">
      <w:rPr>
        <w:rFonts w:ascii="Helvetica" w:hAnsi="Helvetica" w:cs="Times New Roman"/>
        <w:sz w:val="20"/>
        <w:szCs w:val="20"/>
      </w:rPr>
      <w:fldChar w:fldCharType="begin"/>
    </w:r>
    <w:r w:rsidRPr="00CC3698">
      <w:rPr>
        <w:rFonts w:ascii="Helvetica" w:hAnsi="Helvetica" w:cs="Times New Roman"/>
        <w:sz w:val="20"/>
        <w:szCs w:val="20"/>
      </w:rPr>
      <w:instrText xml:space="preserve"> PAGE </w:instrText>
    </w:r>
    <w:r w:rsidRPr="00CC3698">
      <w:rPr>
        <w:rFonts w:ascii="Helvetica" w:hAnsi="Helvetica" w:cs="Times New Roman"/>
        <w:sz w:val="20"/>
        <w:szCs w:val="20"/>
      </w:rPr>
      <w:fldChar w:fldCharType="separate"/>
    </w:r>
    <w:r w:rsidR="00386DDA">
      <w:rPr>
        <w:rFonts w:ascii="Helvetica" w:hAnsi="Helvetica" w:cs="Times New Roman"/>
        <w:noProof/>
        <w:sz w:val="20"/>
        <w:szCs w:val="20"/>
      </w:rPr>
      <w:t>1</w:t>
    </w:r>
    <w:r w:rsidRPr="00CC3698">
      <w:rPr>
        <w:rFonts w:ascii="Helvetica" w:hAnsi="Helvetica" w:cs="Times New Roman"/>
        <w:sz w:val="20"/>
        <w:szCs w:val="20"/>
      </w:rPr>
      <w:fldChar w:fldCharType="end"/>
    </w:r>
    <w:r w:rsidRPr="00CC3698">
      <w:rPr>
        <w:rFonts w:ascii="Helvetica" w:hAnsi="Helvetica" w:cs="Times New Roman"/>
        <w:sz w:val="20"/>
        <w:szCs w:val="20"/>
      </w:rPr>
      <w:t xml:space="preserve"> of </w:t>
    </w:r>
    <w:r w:rsidRPr="00CC3698">
      <w:rPr>
        <w:rFonts w:ascii="Helvetica" w:hAnsi="Helvetica" w:cs="Times New Roman"/>
        <w:sz w:val="20"/>
        <w:szCs w:val="20"/>
      </w:rPr>
      <w:fldChar w:fldCharType="begin"/>
    </w:r>
    <w:r w:rsidRPr="00CC3698">
      <w:rPr>
        <w:rFonts w:ascii="Helvetica" w:hAnsi="Helvetica" w:cs="Times New Roman"/>
        <w:sz w:val="20"/>
        <w:szCs w:val="20"/>
      </w:rPr>
      <w:instrText xml:space="preserve"> NUMPAGES </w:instrText>
    </w:r>
    <w:r w:rsidRPr="00CC3698">
      <w:rPr>
        <w:rFonts w:ascii="Helvetica" w:hAnsi="Helvetica" w:cs="Times New Roman"/>
        <w:sz w:val="20"/>
        <w:szCs w:val="20"/>
      </w:rPr>
      <w:fldChar w:fldCharType="separate"/>
    </w:r>
    <w:r w:rsidR="00386DDA">
      <w:rPr>
        <w:rFonts w:ascii="Helvetica" w:hAnsi="Helvetica" w:cs="Times New Roman"/>
        <w:noProof/>
        <w:sz w:val="20"/>
        <w:szCs w:val="20"/>
      </w:rPr>
      <w:t>1</w:t>
    </w:r>
    <w:r w:rsidRPr="00CC3698">
      <w:rPr>
        <w:rFonts w:ascii="Helvetica" w:hAnsi="Helvetica" w:cs="Times New Roman"/>
        <w:sz w:val="20"/>
        <w:szCs w:val="20"/>
      </w:rPr>
      <w:fldChar w:fldCharType="end"/>
    </w:r>
    <w:r w:rsidRPr="00CC3698">
      <w:rPr>
        <w:rFonts w:ascii="Helvetica" w:hAnsi="Helvetica" w:cs="Times New Roman"/>
        <w:sz w:val="20"/>
        <w:szCs w:val="20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12438" w14:textId="77777777" w:rsidR="007D668C" w:rsidRDefault="007D668C" w:rsidP="0001270D">
      <w:r>
        <w:separator/>
      </w:r>
    </w:p>
  </w:footnote>
  <w:footnote w:type="continuationSeparator" w:id="0">
    <w:p w14:paraId="310C241B" w14:textId="77777777" w:rsidR="007D668C" w:rsidRDefault="007D668C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7419"/>
    <w:multiLevelType w:val="hybridMultilevel"/>
    <w:tmpl w:val="5C16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440C"/>
    <w:multiLevelType w:val="hybridMultilevel"/>
    <w:tmpl w:val="ABD8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2402"/>
    <w:multiLevelType w:val="hybridMultilevel"/>
    <w:tmpl w:val="DA08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72F5"/>
    <w:multiLevelType w:val="hybridMultilevel"/>
    <w:tmpl w:val="E1C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C1"/>
    <w:rsid w:val="0001270D"/>
    <w:rsid w:val="0002579C"/>
    <w:rsid w:val="00033A30"/>
    <w:rsid w:val="000937D4"/>
    <w:rsid w:val="000B1C38"/>
    <w:rsid w:val="000B34E7"/>
    <w:rsid w:val="000C30C1"/>
    <w:rsid w:val="001320AC"/>
    <w:rsid w:val="001C22D7"/>
    <w:rsid w:val="001D2612"/>
    <w:rsid w:val="00201FF6"/>
    <w:rsid w:val="002022CB"/>
    <w:rsid w:val="002668A3"/>
    <w:rsid w:val="00374EE7"/>
    <w:rsid w:val="00386DDA"/>
    <w:rsid w:val="0039514C"/>
    <w:rsid w:val="003D16C1"/>
    <w:rsid w:val="003D1EE6"/>
    <w:rsid w:val="003E5A4A"/>
    <w:rsid w:val="004E5846"/>
    <w:rsid w:val="00542100"/>
    <w:rsid w:val="00565918"/>
    <w:rsid w:val="005B1614"/>
    <w:rsid w:val="005C7268"/>
    <w:rsid w:val="005D428D"/>
    <w:rsid w:val="005F0151"/>
    <w:rsid w:val="005F747D"/>
    <w:rsid w:val="00670022"/>
    <w:rsid w:val="00763280"/>
    <w:rsid w:val="00775B27"/>
    <w:rsid w:val="00792467"/>
    <w:rsid w:val="007A5538"/>
    <w:rsid w:val="007D668C"/>
    <w:rsid w:val="007F5384"/>
    <w:rsid w:val="008767A2"/>
    <w:rsid w:val="00891296"/>
    <w:rsid w:val="008A6B29"/>
    <w:rsid w:val="0091491C"/>
    <w:rsid w:val="0095706B"/>
    <w:rsid w:val="00970C97"/>
    <w:rsid w:val="00A15A81"/>
    <w:rsid w:val="00A4704B"/>
    <w:rsid w:val="00AB0DAE"/>
    <w:rsid w:val="00B12F8E"/>
    <w:rsid w:val="00B40D9E"/>
    <w:rsid w:val="00B422AF"/>
    <w:rsid w:val="00B46E11"/>
    <w:rsid w:val="00B92771"/>
    <w:rsid w:val="00B94E22"/>
    <w:rsid w:val="00BF5955"/>
    <w:rsid w:val="00C350DC"/>
    <w:rsid w:val="00CB0B9A"/>
    <w:rsid w:val="00CC3698"/>
    <w:rsid w:val="00D02473"/>
    <w:rsid w:val="00D64A69"/>
    <w:rsid w:val="00D83FEA"/>
    <w:rsid w:val="00DC05B6"/>
    <w:rsid w:val="00DC3A55"/>
    <w:rsid w:val="00DE0F88"/>
    <w:rsid w:val="00E15300"/>
    <w:rsid w:val="00EB0AAC"/>
    <w:rsid w:val="00ED49FD"/>
    <w:rsid w:val="00F6246D"/>
    <w:rsid w:val="00F6413C"/>
    <w:rsid w:val="00F77303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1B947"/>
  <w14:defaultImageDpi w14:val="300"/>
  <w15:docId w15:val="{2EE91F84-32CE-DE47-B8B5-D81E4947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1270D"/>
  </w:style>
  <w:style w:type="character" w:customStyle="1" w:styleId="FootnoteTextChar">
    <w:name w:val="Footnote Text Char"/>
    <w:basedOn w:val="DefaultParagraphFont"/>
    <w:link w:val="FootnoteText"/>
    <w:uiPriority w:val="99"/>
    <w:rsid w:val="0001270D"/>
  </w:style>
  <w:style w:type="character" w:styleId="FootnoteReference">
    <w:name w:val="footnote reference"/>
    <w:basedOn w:val="DefaultParagraphFont"/>
    <w:uiPriority w:val="99"/>
    <w:unhideWhenUsed/>
    <w:rsid w:val="000127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2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6D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D83FEA"/>
  </w:style>
  <w:style w:type="character" w:customStyle="1" w:styleId="EndnoteTextChar">
    <w:name w:val="Endnote Text Char"/>
    <w:basedOn w:val="DefaultParagraphFont"/>
    <w:link w:val="EndnoteText"/>
    <w:uiPriority w:val="99"/>
    <w:rsid w:val="00D83FEA"/>
  </w:style>
  <w:style w:type="character" w:styleId="EndnoteReference">
    <w:name w:val="endnote reference"/>
    <w:basedOn w:val="DefaultParagraphFont"/>
    <w:uiPriority w:val="99"/>
    <w:unhideWhenUsed/>
    <w:rsid w:val="00D83F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3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698"/>
  </w:style>
  <w:style w:type="paragraph" w:styleId="Footer">
    <w:name w:val="footer"/>
    <w:basedOn w:val="Normal"/>
    <w:link w:val="FooterChar"/>
    <w:uiPriority w:val="99"/>
    <w:unhideWhenUsed/>
    <w:rsid w:val="00CC3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698"/>
  </w:style>
  <w:style w:type="character" w:styleId="CommentReference">
    <w:name w:val="annotation reference"/>
    <w:basedOn w:val="DefaultParagraphFont"/>
    <w:uiPriority w:val="99"/>
    <w:semiHidden/>
    <w:unhideWhenUsed/>
    <w:rsid w:val="00792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4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4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Zigas</dc:creator>
  <cp:keywords/>
  <dc:description/>
  <cp:lastModifiedBy>Eli Zigas</cp:lastModifiedBy>
  <cp:revision>4</cp:revision>
  <cp:lastPrinted>2017-11-08T19:05:00Z</cp:lastPrinted>
  <dcterms:created xsi:type="dcterms:W3CDTF">2020-03-04T23:17:00Z</dcterms:created>
  <dcterms:modified xsi:type="dcterms:W3CDTF">2020-03-04T23:21:00Z</dcterms:modified>
</cp:coreProperties>
</file>