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30" w:type="dxa"/>
        <w:tblInd w:w="-410" w:type="dxa"/>
        <w:tblCellMar>
          <w:top w:w="72" w:type="dxa"/>
          <w:left w:w="72" w:type="dxa"/>
          <w:bottom w:w="72" w:type="dxa"/>
          <w:right w:w="72" w:type="dxa"/>
        </w:tblCellMar>
        <w:tblLook w:val="04A0" w:firstRow="1" w:lastRow="0" w:firstColumn="1" w:lastColumn="0" w:noHBand="0" w:noVBand="1"/>
      </w:tblPr>
      <w:tblGrid>
        <w:gridCol w:w="1752"/>
        <w:gridCol w:w="6695"/>
        <w:gridCol w:w="1228"/>
        <w:gridCol w:w="2250"/>
        <w:gridCol w:w="1705"/>
      </w:tblGrid>
      <w:tr w:rsidR="008D2964" w:rsidRPr="001D4A8D" w14:paraId="5D8F7664" w14:textId="798B091E" w:rsidTr="00A6213D">
        <w:tc>
          <w:tcPr>
            <w:tcW w:w="1752" w:type="dxa"/>
            <w:tcBorders>
              <w:top w:val="single" w:sz="12" w:space="0" w:color="auto"/>
              <w:left w:val="single" w:sz="12" w:space="0" w:color="auto"/>
              <w:bottom w:val="single" w:sz="12" w:space="0" w:color="auto"/>
              <w:right w:val="single" w:sz="4" w:space="0" w:color="000000"/>
            </w:tcBorders>
            <w:shd w:val="clear" w:color="auto" w:fill="BFBFBF" w:themeFill="background1" w:themeFillShade="BF"/>
          </w:tcPr>
          <w:p w14:paraId="5A881F34" w14:textId="784EBCEA" w:rsidR="008D2964" w:rsidRPr="001D4A8D" w:rsidRDefault="008D2964" w:rsidP="00FE5A52">
            <w:pPr>
              <w:rPr>
                <w:rFonts w:ascii="Arial" w:hAnsi="Arial" w:cs="Arial"/>
              </w:rPr>
            </w:pPr>
            <w:r w:rsidRPr="001D4A8D">
              <w:rPr>
                <w:rFonts w:ascii="Arial" w:hAnsi="Arial" w:cs="Arial"/>
                <w:b/>
                <w:bCs/>
              </w:rPr>
              <w:t>MHLN Name</w:t>
            </w:r>
          </w:p>
        </w:tc>
        <w:tc>
          <w:tcPr>
            <w:tcW w:w="6695" w:type="dxa"/>
            <w:tcBorders>
              <w:top w:val="single" w:sz="12" w:space="0" w:color="auto"/>
              <w:left w:val="single" w:sz="4" w:space="0" w:color="000000"/>
              <w:bottom w:val="single" w:sz="12" w:space="0" w:color="auto"/>
              <w:right w:val="single" w:sz="4" w:space="0" w:color="000000"/>
            </w:tcBorders>
            <w:shd w:val="clear" w:color="auto" w:fill="BFBFBF" w:themeFill="background1" w:themeFillShade="BF"/>
          </w:tcPr>
          <w:p w14:paraId="3321F239" w14:textId="25728CB0" w:rsidR="008D2964" w:rsidRPr="001D4A8D" w:rsidRDefault="008D2964" w:rsidP="00FE5A52">
            <w:pPr>
              <w:rPr>
                <w:rFonts w:ascii="Arial" w:hAnsi="Arial" w:cs="Arial"/>
              </w:rPr>
            </w:pPr>
            <w:r w:rsidRPr="001D4A8D">
              <w:rPr>
                <w:rFonts w:ascii="Arial" w:hAnsi="Arial" w:cs="Arial"/>
                <w:b/>
                <w:bCs/>
              </w:rPr>
              <w:t>Brief Summary of Bill</w:t>
            </w:r>
          </w:p>
        </w:tc>
        <w:tc>
          <w:tcPr>
            <w:tcW w:w="1228" w:type="dxa"/>
            <w:tcBorders>
              <w:top w:val="single" w:sz="12" w:space="0" w:color="auto"/>
              <w:left w:val="single" w:sz="4" w:space="0" w:color="000000"/>
              <w:bottom w:val="single" w:sz="12" w:space="0" w:color="auto"/>
              <w:right w:val="single" w:sz="4" w:space="0" w:color="000000"/>
            </w:tcBorders>
            <w:shd w:val="clear" w:color="auto" w:fill="BFBFBF" w:themeFill="background1" w:themeFillShade="BF"/>
          </w:tcPr>
          <w:p w14:paraId="38563080" w14:textId="7FB25D22" w:rsidR="008D2964" w:rsidRPr="001D4A8D" w:rsidRDefault="008D2964" w:rsidP="00FE5A52">
            <w:pPr>
              <w:rPr>
                <w:rFonts w:ascii="Arial" w:hAnsi="Arial" w:cs="Arial"/>
              </w:rPr>
            </w:pPr>
            <w:r w:rsidRPr="001D4A8D">
              <w:rPr>
                <w:rFonts w:ascii="Arial" w:hAnsi="Arial" w:cs="Arial"/>
                <w:b/>
                <w:bCs/>
              </w:rPr>
              <w:t>Numbers</w:t>
            </w:r>
          </w:p>
        </w:tc>
        <w:tc>
          <w:tcPr>
            <w:tcW w:w="2250" w:type="dxa"/>
            <w:tcBorders>
              <w:top w:val="single" w:sz="12" w:space="0" w:color="auto"/>
              <w:left w:val="single" w:sz="4" w:space="0" w:color="000000"/>
              <w:bottom w:val="single" w:sz="12" w:space="0" w:color="auto"/>
              <w:right w:val="single" w:sz="4" w:space="0" w:color="000000"/>
            </w:tcBorders>
            <w:shd w:val="clear" w:color="auto" w:fill="BFBFBF" w:themeFill="background1" w:themeFillShade="BF"/>
          </w:tcPr>
          <w:p w14:paraId="6A78D9A4" w14:textId="321D8A00" w:rsidR="008D2964" w:rsidRPr="001D4A8D" w:rsidRDefault="000E2F6B" w:rsidP="00FE5A52">
            <w:pPr>
              <w:rPr>
                <w:rFonts w:ascii="Arial" w:hAnsi="Arial" w:cs="Arial"/>
                <w:b/>
                <w:bCs/>
              </w:rPr>
            </w:pPr>
            <w:r w:rsidRPr="001D4A8D">
              <w:rPr>
                <w:rFonts w:ascii="Arial" w:hAnsi="Arial" w:cs="Arial"/>
                <w:b/>
                <w:bCs/>
              </w:rPr>
              <w:t>Authors</w:t>
            </w:r>
          </w:p>
        </w:tc>
        <w:tc>
          <w:tcPr>
            <w:tcW w:w="1705" w:type="dxa"/>
            <w:tcBorders>
              <w:top w:val="single" w:sz="12" w:space="0" w:color="auto"/>
              <w:left w:val="single" w:sz="4" w:space="0" w:color="000000"/>
              <w:bottom w:val="single" w:sz="12" w:space="0" w:color="auto"/>
              <w:right w:val="single" w:sz="12" w:space="0" w:color="auto"/>
            </w:tcBorders>
            <w:shd w:val="clear" w:color="auto" w:fill="BFBFBF" w:themeFill="background1" w:themeFillShade="BF"/>
          </w:tcPr>
          <w:p w14:paraId="65E9BDE1" w14:textId="78ABD291" w:rsidR="008D2964" w:rsidRPr="001D4A8D" w:rsidRDefault="000E2F6B" w:rsidP="00FE5A52">
            <w:pPr>
              <w:rPr>
                <w:rFonts w:ascii="Arial" w:hAnsi="Arial" w:cs="Arial"/>
                <w:b/>
                <w:bCs/>
              </w:rPr>
            </w:pPr>
            <w:r w:rsidRPr="001D4A8D">
              <w:rPr>
                <w:rFonts w:ascii="Arial" w:hAnsi="Arial" w:cs="Arial"/>
                <w:b/>
                <w:bCs/>
              </w:rPr>
              <w:t>Status</w:t>
            </w:r>
          </w:p>
        </w:tc>
      </w:tr>
      <w:tr w:rsidR="00CC297A" w:rsidRPr="001D4A8D" w14:paraId="5771BBD6"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1DB307FF" w14:textId="77777777"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Adult Mental Health</w:t>
            </w:r>
          </w:p>
          <w:p w14:paraId="2E534A47" w14:textId="77777777" w:rsidR="00CC297A" w:rsidRPr="001D4A8D" w:rsidRDefault="00CC297A" w:rsidP="00CC297A">
            <w:pPr>
              <w:rPr>
                <w:rFonts w:ascii="Arial" w:eastAsia="PMingLiU" w:hAnsi="Arial" w:cs="Arial"/>
                <w:lang w:eastAsia="zh-TW"/>
              </w:rPr>
            </w:pPr>
          </w:p>
        </w:tc>
        <w:tc>
          <w:tcPr>
            <w:tcW w:w="6695" w:type="dxa"/>
            <w:vMerge w:val="restart"/>
            <w:tcBorders>
              <w:top w:val="single" w:sz="12" w:space="0" w:color="auto"/>
              <w:right w:val="single" w:sz="12" w:space="0" w:color="auto"/>
            </w:tcBorders>
            <w:shd w:val="clear" w:color="auto" w:fill="D9E2F3" w:themeFill="accent1" w:themeFillTint="33"/>
          </w:tcPr>
          <w:p w14:paraId="4C554FF9" w14:textId="52184745" w:rsidR="00CC297A" w:rsidRPr="001D4A8D" w:rsidRDefault="00CC297A" w:rsidP="00CC297A">
            <w:pPr>
              <w:rPr>
                <w:rFonts w:ascii="Arial" w:hAnsi="Arial" w:cs="Arial"/>
              </w:rPr>
            </w:pPr>
            <w:r w:rsidRPr="001D4A8D">
              <w:rPr>
                <w:rFonts w:ascii="Arial" w:eastAsia="PMingLiU" w:hAnsi="Arial" w:cs="Arial"/>
                <w:lang w:eastAsia="zh-TW"/>
              </w:rPr>
              <w:t>Expands list of diagnoses eligible for case management, raises payment rates for protected transport under Nonemergency Medical Transportation (NEMT), continues to allow audio-only telehealth, creates grant program for early episode bipolar disorder, increases funding for first episode of psychosis programs</w:t>
            </w:r>
            <w:r w:rsidR="009355DB">
              <w:rPr>
                <w:rFonts w:ascii="Arial" w:eastAsia="PMingLiU" w:hAnsi="Arial" w:cs="Arial"/>
                <w:lang w:eastAsia="zh-TW"/>
              </w:rPr>
              <w:t xml:space="preserve">, </w:t>
            </w:r>
            <w:r w:rsidR="009355DB" w:rsidRPr="001D4A8D">
              <w:rPr>
                <w:rFonts w:ascii="Arial" w:eastAsia="PMingLiU" w:hAnsi="Arial" w:cs="Arial"/>
                <w:lang w:eastAsia="zh-TW"/>
              </w:rPr>
              <w:t>requires education on TD (tardive dyskinesia) in residential treatment</w:t>
            </w:r>
          </w:p>
        </w:tc>
        <w:tc>
          <w:tcPr>
            <w:tcW w:w="1228" w:type="dxa"/>
            <w:tcBorders>
              <w:top w:val="single" w:sz="12" w:space="0" w:color="auto"/>
              <w:left w:val="single" w:sz="12" w:space="0" w:color="auto"/>
            </w:tcBorders>
          </w:tcPr>
          <w:p w14:paraId="7FE9D68D" w14:textId="44800EC1" w:rsidR="00CC297A" w:rsidRPr="001D4A8D" w:rsidRDefault="00CC297A" w:rsidP="00CC297A">
            <w:pPr>
              <w:rPr>
                <w:rFonts w:ascii="Arial" w:hAnsi="Arial" w:cs="Arial"/>
                <w:sz w:val="20"/>
                <w:szCs w:val="20"/>
              </w:rPr>
            </w:pPr>
            <w:r w:rsidRPr="001D4A8D">
              <w:rPr>
                <w:rFonts w:ascii="Arial" w:hAnsi="Arial" w:cs="Arial"/>
                <w:sz w:val="20"/>
                <w:szCs w:val="20"/>
              </w:rPr>
              <w:t>SF 1953</w:t>
            </w:r>
          </w:p>
        </w:tc>
        <w:tc>
          <w:tcPr>
            <w:tcW w:w="2250" w:type="dxa"/>
            <w:tcBorders>
              <w:top w:val="single" w:sz="12" w:space="0" w:color="auto"/>
            </w:tcBorders>
          </w:tcPr>
          <w:p w14:paraId="48D8C9EC" w14:textId="7FC2E9BC" w:rsidR="00CC297A" w:rsidRPr="001D4A8D" w:rsidRDefault="00CC297A" w:rsidP="00CC297A">
            <w:pPr>
              <w:rPr>
                <w:rFonts w:ascii="Arial" w:hAnsi="Arial" w:cs="Arial"/>
                <w:sz w:val="20"/>
                <w:szCs w:val="20"/>
              </w:rPr>
            </w:pPr>
            <w:r w:rsidRPr="001D4A8D">
              <w:rPr>
                <w:rFonts w:ascii="Arial" w:hAnsi="Arial" w:cs="Arial"/>
                <w:sz w:val="20"/>
                <w:szCs w:val="20"/>
              </w:rPr>
              <w:t>Mann</w:t>
            </w:r>
          </w:p>
        </w:tc>
        <w:tc>
          <w:tcPr>
            <w:tcW w:w="1705" w:type="dxa"/>
            <w:tcBorders>
              <w:top w:val="single" w:sz="12" w:space="0" w:color="auto"/>
              <w:right w:val="single" w:sz="12" w:space="0" w:color="auto"/>
            </w:tcBorders>
          </w:tcPr>
          <w:p w14:paraId="3FC72F63" w14:textId="0B22A091" w:rsidR="00CC297A" w:rsidRPr="001D4A8D" w:rsidRDefault="005C2EF8" w:rsidP="00CC297A">
            <w:pPr>
              <w:rPr>
                <w:rFonts w:ascii="Arial" w:hAnsi="Arial" w:cs="Arial"/>
                <w:sz w:val="20"/>
                <w:szCs w:val="20"/>
              </w:rPr>
            </w:pPr>
            <w:r>
              <w:rPr>
                <w:rFonts w:ascii="Arial" w:hAnsi="Arial" w:cs="Arial"/>
                <w:sz w:val="20"/>
                <w:szCs w:val="20"/>
              </w:rPr>
              <w:t>Hearing in Health and Human Services on 3/13</w:t>
            </w:r>
          </w:p>
        </w:tc>
      </w:tr>
      <w:tr w:rsidR="00CC297A" w:rsidRPr="001D4A8D" w14:paraId="27C6AF5E"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615CF27E" w14:textId="77777777" w:rsidR="00CC297A" w:rsidRPr="001D4A8D" w:rsidRDefault="00CC297A"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45CFAF0E" w14:textId="77777777" w:rsidR="00CC297A" w:rsidRPr="001D4A8D" w:rsidRDefault="00CC297A" w:rsidP="00CC297A">
            <w:pPr>
              <w:rPr>
                <w:rFonts w:ascii="Arial" w:hAnsi="Arial" w:cs="Arial"/>
              </w:rPr>
            </w:pPr>
          </w:p>
        </w:tc>
        <w:tc>
          <w:tcPr>
            <w:tcW w:w="1228" w:type="dxa"/>
            <w:tcBorders>
              <w:left w:val="single" w:sz="12" w:space="0" w:color="auto"/>
              <w:bottom w:val="single" w:sz="12" w:space="0" w:color="auto"/>
            </w:tcBorders>
            <w:shd w:val="clear" w:color="auto" w:fill="E7E6E6" w:themeFill="background2"/>
          </w:tcPr>
          <w:p w14:paraId="4B7B7969" w14:textId="0E2FA60F" w:rsidR="00CC297A" w:rsidRPr="001D4A8D" w:rsidRDefault="001E5F6D" w:rsidP="00CC297A">
            <w:pPr>
              <w:rPr>
                <w:rFonts w:ascii="Arial" w:hAnsi="Arial" w:cs="Arial"/>
                <w:sz w:val="20"/>
                <w:szCs w:val="20"/>
              </w:rPr>
            </w:pPr>
            <w:r>
              <w:rPr>
                <w:rFonts w:ascii="Arial" w:hAnsi="Arial" w:cs="Arial"/>
                <w:sz w:val="20"/>
                <w:szCs w:val="20"/>
              </w:rPr>
              <w:t>HF 2143</w:t>
            </w:r>
          </w:p>
        </w:tc>
        <w:tc>
          <w:tcPr>
            <w:tcW w:w="2250" w:type="dxa"/>
            <w:tcBorders>
              <w:bottom w:val="single" w:sz="12" w:space="0" w:color="auto"/>
            </w:tcBorders>
            <w:shd w:val="clear" w:color="auto" w:fill="E7E6E6" w:themeFill="background2"/>
          </w:tcPr>
          <w:p w14:paraId="5AED9C5E" w14:textId="3CE233FE" w:rsidR="00CC297A" w:rsidRPr="001D4A8D" w:rsidRDefault="00CC297A" w:rsidP="00CC297A">
            <w:pPr>
              <w:rPr>
                <w:rFonts w:ascii="Arial" w:hAnsi="Arial" w:cs="Arial"/>
                <w:sz w:val="20"/>
                <w:szCs w:val="20"/>
              </w:rPr>
            </w:pPr>
            <w:r w:rsidRPr="001D4A8D">
              <w:rPr>
                <w:rFonts w:ascii="Arial" w:hAnsi="Arial" w:cs="Arial"/>
                <w:sz w:val="20"/>
                <w:szCs w:val="20"/>
              </w:rPr>
              <w:t>Momanyi-Hilstley</w:t>
            </w:r>
            <w:r w:rsidR="001E5F6D">
              <w:rPr>
                <w:rFonts w:ascii="Arial" w:hAnsi="Arial" w:cs="Arial"/>
                <w:sz w:val="20"/>
                <w:szCs w:val="20"/>
              </w:rPr>
              <w:t xml:space="preserve">, </w:t>
            </w:r>
            <w:r w:rsidR="001E5F6D" w:rsidRPr="001E5F6D">
              <w:rPr>
                <w:rFonts w:ascii="Arial" w:hAnsi="Arial" w:cs="Arial"/>
                <w:sz w:val="20"/>
                <w:szCs w:val="20"/>
              </w:rPr>
              <w:t>Mahamoud, Hollins, Noor, Fischer, Her, Carroll, Reyer</w:t>
            </w:r>
            <w:r w:rsidR="001E5F6D">
              <w:rPr>
                <w:rFonts w:ascii="Arial" w:hAnsi="Arial" w:cs="Arial"/>
                <w:sz w:val="20"/>
                <w:szCs w:val="20"/>
              </w:rPr>
              <w:t>,</w:t>
            </w:r>
            <w:r w:rsidR="001E5F6D" w:rsidRPr="001E5F6D">
              <w:rPr>
                <w:rFonts w:ascii="Arial" w:hAnsi="Arial" w:cs="Arial"/>
                <w:sz w:val="20"/>
                <w:szCs w:val="20"/>
              </w:rPr>
              <w:t xml:space="preserve"> Lillie</w:t>
            </w:r>
            <w:r w:rsidR="004E03FE">
              <w:rPr>
                <w:rFonts w:ascii="Arial" w:hAnsi="Arial" w:cs="Arial"/>
                <w:sz w:val="20"/>
                <w:szCs w:val="20"/>
              </w:rPr>
              <w:t>, Tatbke, Virnig</w:t>
            </w:r>
          </w:p>
        </w:tc>
        <w:tc>
          <w:tcPr>
            <w:tcW w:w="1705" w:type="dxa"/>
            <w:tcBorders>
              <w:bottom w:val="single" w:sz="12" w:space="0" w:color="auto"/>
              <w:right w:val="single" w:sz="12" w:space="0" w:color="auto"/>
            </w:tcBorders>
            <w:shd w:val="clear" w:color="auto" w:fill="E7E6E6" w:themeFill="background2"/>
          </w:tcPr>
          <w:p w14:paraId="68949937" w14:textId="146C0D57" w:rsidR="00CC297A" w:rsidRPr="001D4A8D" w:rsidRDefault="001E5F6D" w:rsidP="00CC297A">
            <w:pPr>
              <w:rPr>
                <w:rFonts w:ascii="Arial" w:hAnsi="Arial" w:cs="Arial"/>
                <w:sz w:val="20"/>
                <w:szCs w:val="20"/>
              </w:rPr>
            </w:pPr>
            <w:r>
              <w:rPr>
                <w:rFonts w:ascii="Arial" w:hAnsi="Arial" w:cs="Arial"/>
                <w:sz w:val="20"/>
                <w:szCs w:val="20"/>
              </w:rPr>
              <w:t>Referred to Human Services</w:t>
            </w:r>
          </w:p>
        </w:tc>
      </w:tr>
      <w:tr w:rsidR="00BD502A" w:rsidRPr="001D4A8D" w14:paraId="34473C16" w14:textId="77777777" w:rsidTr="00A6213D">
        <w:trPr>
          <w:trHeight w:val="144"/>
        </w:trPr>
        <w:tc>
          <w:tcPr>
            <w:tcW w:w="1752" w:type="dxa"/>
            <w:vMerge w:val="restart"/>
            <w:tcBorders>
              <w:top w:val="single" w:sz="12" w:space="0" w:color="auto"/>
              <w:left w:val="single" w:sz="12" w:space="0" w:color="auto"/>
            </w:tcBorders>
          </w:tcPr>
          <w:p w14:paraId="0FFAB18B" w14:textId="7E2AC29C" w:rsidR="00BD502A" w:rsidRPr="001D4A8D" w:rsidRDefault="00BD502A" w:rsidP="00BD502A">
            <w:pPr>
              <w:rPr>
                <w:rFonts w:ascii="Arial" w:eastAsia="PMingLiU" w:hAnsi="Arial" w:cs="Arial"/>
                <w:lang w:eastAsia="zh-TW"/>
              </w:rPr>
            </w:pPr>
            <w:r w:rsidRPr="001D4A8D">
              <w:rPr>
                <w:rFonts w:ascii="Arial" w:eastAsia="PMingLiU" w:hAnsi="Arial" w:cs="Arial"/>
                <w:lang w:eastAsia="zh-TW"/>
              </w:rPr>
              <w:t xml:space="preserve">Children’s mental health </w:t>
            </w:r>
          </w:p>
        </w:tc>
        <w:tc>
          <w:tcPr>
            <w:tcW w:w="6695" w:type="dxa"/>
            <w:vMerge w:val="restart"/>
            <w:tcBorders>
              <w:top w:val="single" w:sz="12" w:space="0" w:color="auto"/>
              <w:right w:val="single" w:sz="12" w:space="0" w:color="auto"/>
            </w:tcBorders>
          </w:tcPr>
          <w:p w14:paraId="4978CF7C" w14:textId="77777777" w:rsidR="00BD502A" w:rsidRPr="001D4A8D" w:rsidRDefault="00BD502A" w:rsidP="00BD502A">
            <w:pPr>
              <w:rPr>
                <w:rFonts w:ascii="Arial" w:eastAsia="PMingLiU" w:hAnsi="Arial" w:cs="Arial"/>
                <w:lang w:eastAsia="zh-TW"/>
              </w:rPr>
            </w:pPr>
            <w:r w:rsidRPr="001D4A8D">
              <w:rPr>
                <w:rFonts w:ascii="Arial" w:eastAsia="PMingLiU" w:hAnsi="Arial" w:cs="Arial"/>
                <w:lang w:eastAsia="zh-TW"/>
              </w:rPr>
              <w:t>Provides aftercare support through Children’s Therapeutic</w:t>
            </w:r>
          </w:p>
          <w:p w14:paraId="3ABCA8C8" w14:textId="77777777" w:rsidR="00BD502A" w:rsidRPr="001D4A8D" w:rsidRDefault="00BD502A" w:rsidP="00BD502A">
            <w:pPr>
              <w:rPr>
                <w:rFonts w:ascii="Arial" w:eastAsia="PMingLiU" w:hAnsi="Arial" w:cs="Arial"/>
                <w:lang w:eastAsia="zh-TW"/>
              </w:rPr>
            </w:pPr>
            <w:r w:rsidRPr="001D4A8D">
              <w:rPr>
                <w:rFonts w:ascii="Arial" w:eastAsia="PMingLiU" w:hAnsi="Arial" w:cs="Arial"/>
                <w:lang w:eastAsia="zh-TW"/>
              </w:rPr>
              <w:t>Services and Supports, meets child needs in the Nonemergency</w:t>
            </w:r>
          </w:p>
          <w:p w14:paraId="72A3C73C" w14:textId="77777777" w:rsidR="00BD502A" w:rsidRPr="001D4A8D" w:rsidRDefault="00BD502A" w:rsidP="00BD502A">
            <w:pPr>
              <w:rPr>
                <w:rFonts w:ascii="Arial" w:eastAsia="PMingLiU" w:hAnsi="Arial" w:cs="Arial"/>
                <w:lang w:eastAsia="zh-TW"/>
              </w:rPr>
            </w:pPr>
            <w:r w:rsidRPr="001D4A8D">
              <w:rPr>
                <w:rFonts w:ascii="Arial" w:eastAsia="PMingLiU" w:hAnsi="Arial" w:cs="Arial"/>
                <w:lang w:eastAsia="zh-TW"/>
              </w:rPr>
              <w:t>Medical Transportation program, closes the upcoming gap in</w:t>
            </w:r>
          </w:p>
          <w:p w14:paraId="1F79CD7B" w14:textId="101F4D0C" w:rsidR="00BD502A" w:rsidRPr="001D4A8D" w:rsidRDefault="00BD502A" w:rsidP="00BD502A">
            <w:pPr>
              <w:rPr>
                <w:rFonts w:ascii="Arial" w:hAnsi="Arial" w:cs="Arial"/>
              </w:rPr>
            </w:pPr>
            <w:r w:rsidRPr="001D4A8D">
              <w:rPr>
                <w:rFonts w:ascii="Arial" w:eastAsia="PMingLiU" w:hAnsi="Arial" w:cs="Arial"/>
                <w:lang w:eastAsia="zh-TW"/>
              </w:rPr>
              <w:t>funding for school-linked mental health services</w:t>
            </w:r>
          </w:p>
        </w:tc>
        <w:tc>
          <w:tcPr>
            <w:tcW w:w="1228" w:type="dxa"/>
            <w:tcBorders>
              <w:top w:val="single" w:sz="12" w:space="0" w:color="auto"/>
              <w:left w:val="single" w:sz="12" w:space="0" w:color="auto"/>
            </w:tcBorders>
          </w:tcPr>
          <w:p w14:paraId="1BDB8FC4" w14:textId="77777777" w:rsidR="00BD502A" w:rsidRPr="001D4A8D" w:rsidRDefault="00BD502A" w:rsidP="00BD502A">
            <w:pPr>
              <w:rPr>
                <w:rFonts w:ascii="Arial" w:hAnsi="Arial" w:cs="Arial"/>
                <w:sz w:val="20"/>
                <w:szCs w:val="20"/>
              </w:rPr>
            </w:pPr>
            <w:r w:rsidRPr="001D4A8D">
              <w:rPr>
                <w:rFonts w:ascii="Arial" w:hAnsi="Arial" w:cs="Arial"/>
                <w:sz w:val="20"/>
                <w:szCs w:val="20"/>
              </w:rPr>
              <w:t>SF 928</w:t>
            </w:r>
          </w:p>
          <w:p w14:paraId="1ECCB310" w14:textId="77777777" w:rsidR="00BD502A" w:rsidRPr="001D4A8D" w:rsidRDefault="00BD502A" w:rsidP="00BD502A">
            <w:pPr>
              <w:rPr>
                <w:rFonts w:ascii="Arial" w:hAnsi="Arial" w:cs="Arial"/>
                <w:sz w:val="20"/>
                <w:szCs w:val="20"/>
              </w:rPr>
            </w:pPr>
          </w:p>
        </w:tc>
        <w:tc>
          <w:tcPr>
            <w:tcW w:w="2250" w:type="dxa"/>
            <w:tcBorders>
              <w:top w:val="single" w:sz="12" w:space="0" w:color="auto"/>
            </w:tcBorders>
          </w:tcPr>
          <w:p w14:paraId="2DFE3C50" w14:textId="59C0C481" w:rsidR="00BD502A" w:rsidRPr="001D4A8D" w:rsidRDefault="00BD502A" w:rsidP="00BD502A">
            <w:pPr>
              <w:rPr>
                <w:rFonts w:ascii="Arial" w:hAnsi="Arial" w:cs="Arial"/>
                <w:sz w:val="20"/>
                <w:szCs w:val="20"/>
              </w:rPr>
            </w:pPr>
            <w:r w:rsidRPr="001D4A8D">
              <w:rPr>
                <w:rFonts w:ascii="Arial" w:hAnsi="Arial" w:cs="Arial"/>
                <w:sz w:val="20"/>
                <w:szCs w:val="20"/>
              </w:rPr>
              <w:t>Mann, Utke, Boldon, Champion</w:t>
            </w:r>
            <w:r w:rsidR="006609EF">
              <w:rPr>
                <w:rFonts w:ascii="Arial" w:hAnsi="Arial" w:cs="Arial"/>
                <w:sz w:val="20"/>
                <w:szCs w:val="20"/>
              </w:rPr>
              <w:t>, Pha</w:t>
            </w:r>
          </w:p>
        </w:tc>
        <w:tc>
          <w:tcPr>
            <w:tcW w:w="1705" w:type="dxa"/>
            <w:tcBorders>
              <w:top w:val="single" w:sz="12" w:space="0" w:color="auto"/>
              <w:right w:val="single" w:sz="12" w:space="0" w:color="auto"/>
            </w:tcBorders>
          </w:tcPr>
          <w:p w14:paraId="0D5C9831" w14:textId="4AA55A4B" w:rsidR="00BD502A" w:rsidRPr="001D4A8D" w:rsidRDefault="00BD502A" w:rsidP="00BD502A">
            <w:pPr>
              <w:rPr>
                <w:rFonts w:ascii="Arial" w:hAnsi="Arial" w:cs="Arial"/>
                <w:sz w:val="20"/>
                <w:szCs w:val="20"/>
              </w:rPr>
            </w:pPr>
            <w:r w:rsidRPr="001D4A8D">
              <w:rPr>
                <w:rFonts w:ascii="Arial" w:hAnsi="Arial" w:cs="Arial"/>
                <w:sz w:val="20"/>
                <w:szCs w:val="20"/>
              </w:rPr>
              <w:t>Laid over in Health on 2/26</w:t>
            </w:r>
            <w:r w:rsidR="002340C8" w:rsidRPr="001D4A8D">
              <w:rPr>
                <w:rFonts w:ascii="Arial" w:hAnsi="Arial" w:cs="Arial"/>
                <w:sz w:val="20"/>
                <w:szCs w:val="20"/>
              </w:rPr>
              <w:t xml:space="preserve">. Amended to have several issues travel </w:t>
            </w:r>
            <w:r w:rsidR="0055406C" w:rsidRPr="001D4A8D">
              <w:rPr>
                <w:rFonts w:ascii="Arial" w:hAnsi="Arial" w:cs="Arial"/>
                <w:sz w:val="20"/>
                <w:szCs w:val="20"/>
              </w:rPr>
              <w:t>separately</w:t>
            </w:r>
          </w:p>
        </w:tc>
      </w:tr>
      <w:tr w:rsidR="00CC297A" w:rsidRPr="001D4A8D" w14:paraId="17243CCD" w14:textId="77777777" w:rsidTr="00A6213D">
        <w:trPr>
          <w:trHeight w:val="144"/>
        </w:trPr>
        <w:tc>
          <w:tcPr>
            <w:tcW w:w="1752" w:type="dxa"/>
            <w:vMerge/>
            <w:tcBorders>
              <w:left w:val="single" w:sz="12" w:space="0" w:color="auto"/>
              <w:bottom w:val="single" w:sz="12" w:space="0" w:color="auto"/>
            </w:tcBorders>
          </w:tcPr>
          <w:p w14:paraId="02C3AD7B" w14:textId="77777777" w:rsidR="00CC297A" w:rsidRPr="001D4A8D" w:rsidRDefault="00CC297A" w:rsidP="00CC297A">
            <w:pPr>
              <w:rPr>
                <w:rFonts w:ascii="Arial" w:eastAsia="PMingLiU" w:hAnsi="Arial" w:cs="Arial"/>
                <w:lang w:eastAsia="zh-TW"/>
              </w:rPr>
            </w:pPr>
          </w:p>
        </w:tc>
        <w:tc>
          <w:tcPr>
            <w:tcW w:w="6695" w:type="dxa"/>
            <w:vMerge/>
            <w:tcBorders>
              <w:bottom w:val="single" w:sz="12" w:space="0" w:color="auto"/>
              <w:right w:val="single" w:sz="12" w:space="0" w:color="auto"/>
            </w:tcBorders>
          </w:tcPr>
          <w:p w14:paraId="27E306C6" w14:textId="77777777" w:rsidR="00CC297A" w:rsidRPr="001D4A8D" w:rsidRDefault="00CC297A" w:rsidP="00CC297A">
            <w:pPr>
              <w:rPr>
                <w:rFonts w:ascii="Arial" w:hAnsi="Arial" w:cs="Arial"/>
              </w:rPr>
            </w:pPr>
          </w:p>
        </w:tc>
        <w:tc>
          <w:tcPr>
            <w:tcW w:w="1228" w:type="dxa"/>
            <w:tcBorders>
              <w:left w:val="single" w:sz="12" w:space="0" w:color="auto"/>
              <w:bottom w:val="single" w:sz="12" w:space="0" w:color="auto"/>
            </w:tcBorders>
            <w:shd w:val="clear" w:color="auto" w:fill="E7E6E6" w:themeFill="background2"/>
          </w:tcPr>
          <w:p w14:paraId="4B87B186" w14:textId="6977A5D3" w:rsidR="00CC297A" w:rsidRPr="001D4A8D" w:rsidRDefault="00CC297A" w:rsidP="00CC297A">
            <w:pPr>
              <w:rPr>
                <w:rFonts w:ascii="Arial" w:hAnsi="Arial" w:cs="Arial"/>
                <w:sz w:val="20"/>
                <w:szCs w:val="20"/>
              </w:rPr>
            </w:pPr>
            <w:r w:rsidRPr="001D4A8D">
              <w:rPr>
                <w:rFonts w:ascii="Arial" w:hAnsi="Arial" w:cs="Arial"/>
                <w:sz w:val="20"/>
                <w:szCs w:val="20"/>
              </w:rPr>
              <w:t>HF 669</w:t>
            </w:r>
          </w:p>
        </w:tc>
        <w:tc>
          <w:tcPr>
            <w:tcW w:w="2250" w:type="dxa"/>
            <w:tcBorders>
              <w:bottom w:val="single" w:sz="12" w:space="0" w:color="auto"/>
            </w:tcBorders>
            <w:shd w:val="clear" w:color="auto" w:fill="E7E6E6" w:themeFill="background2"/>
          </w:tcPr>
          <w:p w14:paraId="2FB2391F" w14:textId="2E217E53" w:rsidR="00CC297A" w:rsidRPr="001D4A8D" w:rsidRDefault="00CC297A" w:rsidP="00CC297A">
            <w:pPr>
              <w:rPr>
                <w:rFonts w:ascii="Arial" w:hAnsi="Arial" w:cs="Arial"/>
                <w:sz w:val="20"/>
                <w:szCs w:val="20"/>
              </w:rPr>
            </w:pPr>
            <w:r w:rsidRPr="001D4A8D">
              <w:rPr>
                <w:rFonts w:ascii="Arial" w:hAnsi="Arial" w:cs="Arial"/>
                <w:sz w:val="20"/>
                <w:szCs w:val="20"/>
              </w:rPr>
              <w:t>Hicks, Curran, Virnig, Moller</w:t>
            </w:r>
          </w:p>
        </w:tc>
        <w:tc>
          <w:tcPr>
            <w:tcW w:w="1705" w:type="dxa"/>
            <w:tcBorders>
              <w:bottom w:val="single" w:sz="12" w:space="0" w:color="auto"/>
              <w:right w:val="single" w:sz="12" w:space="0" w:color="auto"/>
            </w:tcBorders>
            <w:shd w:val="clear" w:color="auto" w:fill="E7E6E6" w:themeFill="background2"/>
          </w:tcPr>
          <w:p w14:paraId="63463320" w14:textId="32A9AC16" w:rsidR="00CC297A" w:rsidRPr="001D4A8D" w:rsidRDefault="00BD502A" w:rsidP="00CC297A">
            <w:pPr>
              <w:rPr>
                <w:rFonts w:ascii="Arial" w:hAnsi="Arial" w:cs="Arial"/>
                <w:sz w:val="20"/>
                <w:szCs w:val="20"/>
              </w:rPr>
            </w:pPr>
            <w:r w:rsidRPr="001D4A8D">
              <w:rPr>
                <w:rFonts w:ascii="Arial" w:hAnsi="Arial" w:cs="Arial"/>
                <w:sz w:val="20"/>
                <w:szCs w:val="20"/>
              </w:rPr>
              <w:t xml:space="preserve">Referred to </w:t>
            </w:r>
            <w:r w:rsidR="00CC297A" w:rsidRPr="001D4A8D">
              <w:rPr>
                <w:rFonts w:ascii="Arial" w:hAnsi="Arial" w:cs="Arial"/>
                <w:sz w:val="20"/>
                <w:szCs w:val="20"/>
              </w:rPr>
              <w:t>Human Services</w:t>
            </w:r>
          </w:p>
        </w:tc>
      </w:tr>
      <w:tr w:rsidR="00CC297A" w:rsidRPr="001D4A8D" w14:paraId="67918A10"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103AAA6F" w14:textId="3E288B8D"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Child Protection</w:t>
            </w:r>
          </w:p>
        </w:tc>
        <w:tc>
          <w:tcPr>
            <w:tcW w:w="6695" w:type="dxa"/>
            <w:vMerge w:val="restart"/>
            <w:tcBorders>
              <w:top w:val="single" w:sz="12" w:space="0" w:color="auto"/>
              <w:left w:val="single" w:sz="4" w:space="0" w:color="000000"/>
              <w:right w:val="single" w:sz="12" w:space="0" w:color="auto"/>
            </w:tcBorders>
            <w:shd w:val="clear" w:color="auto" w:fill="D9E2F3" w:themeFill="accent1" w:themeFillTint="33"/>
          </w:tcPr>
          <w:p w14:paraId="35A925D0" w14:textId="347E8693" w:rsidR="00CC297A" w:rsidRPr="001D4A8D" w:rsidRDefault="00CC297A" w:rsidP="00CC297A">
            <w:pPr>
              <w:rPr>
                <w:rFonts w:ascii="Arial" w:eastAsia="PMingLiU" w:hAnsi="Arial" w:cs="Arial"/>
                <w:lang w:eastAsia="zh-TW"/>
              </w:rPr>
            </w:pPr>
            <w:r w:rsidRPr="001D4A8D">
              <w:rPr>
                <w:rFonts w:ascii="Arial" w:hAnsi="Arial" w:cs="Arial"/>
              </w:rPr>
              <w:t>Clarifies in statute that neglect under child protection does not include children boarding in an emergency department or in a hospital bed when parents can’t take the child home due to lack of services available</w:t>
            </w:r>
          </w:p>
        </w:tc>
        <w:tc>
          <w:tcPr>
            <w:tcW w:w="1228" w:type="dxa"/>
            <w:tcBorders>
              <w:top w:val="single" w:sz="12" w:space="0" w:color="auto"/>
              <w:left w:val="single" w:sz="12" w:space="0" w:color="auto"/>
            </w:tcBorders>
          </w:tcPr>
          <w:p w14:paraId="74FD93E2" w14:textId="77777777" w:rsidR="00CC297A" w:rsidRPr="001D4A8D" w:rsidRDefault="00CC297A" w:rsidP="00CC297A">
            <w:pPr>
              <w:rPr>
                <w:rFonts w:ascii="Arial" w:hAnsi="Arial" w:cs="Arial"/>
                <w:sz w:val="20"/>
                <w:szCs w:val="20"/>
              </w:rPr>
            </w:pPr>
            <w:r w:rsidRPr="001D4A8D">
              <w:rPr>
                <w:rFonts w:ascii="Arial" w:hAnsi="Arial" w:cs="Arial"/>
                <w:sz w:val="20"/>
                <w:szCs w:val="20"/>
              </w:rPr>
              <w:t>SF 1682</w:t>
            </w:r>
          </w:p>
          <w:p w14:paraId="351C6CF6" w14:textId="77777777" w:rsidR="00CC297A" w:rsidRPr="001D4A8D" w:rsidRDefault="00CC297A" w:rsidP="00CC297A">
            <w:pPr>
              <w:rPr>
                <w:rFonts w:ascii="Arial" w:hAnsi="Arial" w:cs="Arial"/>
                <w:sz w:val="20"/>
                <w:szCs w:val="20"/>
              </w:rPr>
            </w:pPr>
          </w:p>
        </w:tc>
        <w:tc>
          <w:tcPr>
            <w:tcW w:w="2250" w:type="dxa"/>
            <w:tcBorders>
              <w:top w:val="single" w:sz="12" w:space="0" w:color="auto"/>
            </w:tcBorders>
          </w:tcPr>
          <w:p w14:paraId="3F1F472D" w14:textId="6BE21DEE" w:rsidR="00CC297A" w:rsidRPr="001D4A8D" w:rsidRDefault="00CC297A" w:rsidP="00CC297A">
            <w:pPr>
              <w:rPr>
                <w:rFonts w:ascii="Arial" w:hAnsi="Arial" w:cs="Arial"/>
                <w:sz w:val="20"/>
                <w:szCs w:val="20"/>
              </w:rPr>
            </w:pPr>
            <w:r w:rsidRPr="001D4A8D">
              <w:rPr>
                <w:rFonts w:ascii="Arial" w:hAnsi="Arial" w:cs="Arial"/>
                <w:sz w:val="20"/>
                <w:szCs w:val="20"/>
              </w:rPr>
              <w:t>Maye Quade</w:t>
            </w:r>
            <w:r w:rsidR="006609EF">
              <w:rPr>
                <w:rFonts w:ascii="Arial" w:hAnsi="Arial" w:cs="Arial"/>
                <w:sz w:val="20"/>
                <w:szCs w:val="20"/>
              </w:rPr>
              <w:t>, Mitchell</w:t>
            </w:r>
            <w:r w:rsidR="004E03FE">
              <w:rPr>
                <w:rFonts w:ascii="Arial" w:hAnsi="Arial" w:cs="Arial"/>
                <w:sz w:val="20"/>
                <w:szCs w:val="20"/>
              </w:rPr>
              <w:t>, Abeler</w:t>
            </w:r>
          </w:p>
          <w:p w14:paraId="1E8CEF63" w14:textId="77777777" w:rsidR="00CC297A" w:rsidRPr="001D4A8D" w:rsidRDefault="00CC297A" w:rsidP="00CC297A">
            <w:pPr>
              <w:rPr>
                <w:rFonts w:ascii="Arial" w:hAnsi="Arial" w:cs="Arial"/>
                <w:sz w:val="20"/>
                <w:szCs w:val="20"/>
              </w:rPr>
            </w:pPr>
          </w:p>
        </w:tc>
        <w:tc>
          <w:tcPr>
            <w:tcW w:w="1705" w:type="dxa"/>
            <w:tcBorders>
              <w:top w:val="single" w:sz="12" w:space="0" w:color="auto"/>
              <w:right w:val="single" w:sz="12" w:space="0" w:color="auto"/>
            </w:tcBorders>
          </w:tcPr>
          <w:p w14:paraId="1FC87086" w14:textId="1C8C1AA1" w:rsidR="00CC297A" w:rsidRPr="001D4A8D" w:rsidRDefault="00EC6601" w:rsidP="00CC297A">
            <w:pPr>
              <w:rPr>
                <w:rFonts w:ascii="Arial" w:hAnsi="Arial" w:cs="Arial"/>
                <w:sz w:val="20"/>
                <w:szCs w:val="20"/>
              </w:rPr>
            </w:pPr>
            <w:r>
              <w:rPr>
                <w:rFonts w:ascii="Arial" w:hAnsi="Arial" w:cs="Arial"/>
                <w:sz w:val="20"/>
                <w:szCs w:val="20"/>
              </w:rPr>
              <w:t>Hearing in Health on 3/13</w:t>
            </w:r>
            <w:r w:rsidR="00BD502A" w:rsidRPr="001D4A8D">
              <w:rPr>
                <w:rFonts w:ascii="Arial" w:hAnsi="Arial" w:cs="Arial"/>
                <w:sz w:val="20"/>
                <w:szCs w:val="20"/>
              </w:rPr>
              <w:t xml:space="preserve"> </w:t>
            </w:r>
          </w:p>
        </w:tc>
      </w:tr>
      <w:tr w:rsidR="00CC297A" w:rsidRPr="001D4A8D" w14:paraId="20385828"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371E9912" w14:textId="77777777" w:rsidR="00CC297A" w:rsidRPr="001D4A8D" w:rsidRDefault="00CC297A" w:rsidP="00CC297A">
            <w:pPr>
              <w:rPr>
                <w:rFonts w:ascii="Arial" w:eastAsia="PMingLiU" w:hAnsi="Arial" w:cs="Arial"/>
                <w:lang w:eastAsia="zh-TW"/>
              </w:rPr>
            </w:pPr>
          </w:p>
        </w:tc>
        <w:tc>
          <w:tcPr>
            <w:tcW w:w="6695" w:type="dxa"/>
            <w:vMerge/>
            <w:tcBorders>
              <w:left w:val="single" w:sz="4" w:space="0" w:color="000000"/>
              <w:bottom w:val="single" w:sz="12" w:space="0" w:color="auto"/>
              <w:right w:val="single" w:sz="12" w:space="0" w:color="auto"/>
            </w:tcBorders>
            <w:shd w:val="clear" w:color="auto" w:fill="D9E2F3" w:themeFill="accent1" w:themeFillTint="33"/>
          </w:tcPr>
          <w:p w14:paraId="2BE310F8" w14:textId="77777777" w:rsidR="00CC297A" w:rsidRPr="001D4A8D" w:rsidRDefault="00CC297A"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410ED43C" w14:textId="7B9EE461" w:rsidR="00CC297A" w:rsidRPr="001D4A8D" w:rsidRDefault="00CC297A" w:rsidP="00CC297A">
            <w:pPr>
              <w:rPr>
                <w:rFonts w:ascii="Arial" w:hAnsi="Arial" w:cs="Arial"/>
                <w:sz w:val="20"/>
                <w:szCs w:val="20"/>
              </w:rPr>
            </w:pPr>
            <w:r w:rsidRPr="001D4A8D">
              <w:rPr>
                <w:rFonts w:ascii="Arial" w:hAnsi="Arial" w:cs="Arial"/>
                <w:sz w:val="20"/>
                <w:szCs w:val="20"/>
              </w:rPr>
              <w:t>HF 1614</w:t>
            </w:r>
          </w:p>
        </w:tc>
        <w:tc>
          <w:tcPr>
            <w:tcW w:w="2250" w:type="dxa"/>
            <w:tcBorders>
              <w:bottom w:val="single" w:sz="12" w:space="0" w:color="auto"/>
            </w:tcBorders>
            <w:shd w:val="clear" w:color="auto" w:fill="E7E6E6" w:themeFill="background2"/>
          </w:tcPr>
          <w:p w14:paraId="70F0C8FA" w14:textId="19AC5B32" w:rsidR="00CC297A" w:rsidRPr="001D4A8D" w:rsidRDefault="00CC297A" w:rsidP="00CC297A">
            <w:pPr>
              <w:rPr>
                <w:rFonts w:ascii="Arial" w:hAnsi="Arial" w:cs="Arial"/>
                <w:sz w:val="20"/>
                <w:szCs w:val="20"/>
              </w:rPr>
            </w:pPr>
            <w:r w:rsidRPr="001D4A8D">
              <w:rPr>
                <w:rFonts w:ascii="Arial" w:hAnsi="Arial" w:cs="Arial"/>
                <w:sz w:val="20"/>
                <w:szCs w:val="20"/>
              </w:rPr>
              <w:t>Kraft, Hicks, Hanson J.</w:t>
            </w:r>
          </w:p>
        </w:tc>
        <w:tc>
          <w:tcPr>
            <w:tcW w:w="1705" w:type="dxa"/>
            <w:tcBorders>
              <w:bottom w:val="single" w:sz="12" w:space="0" w:color="auto"/>
              <w:right w:val="single" w:sz="12" w:space="0" w:color="auto"/>
            </w:tcBorders>
            <w:shd w:val="clear" w:color="auto" w:fill="E7E6E6" w:themeFill="background2"/>
          </w:tcPr>
          <w:p w14:paraId="605B0E16" w14:textId="3706262B" w:rsidR="00CC297A" w:rsidRPr="001D4A8D" w:rsidRDefault="00BD502A" w:rsidP="00CC297A">
            <w:pPr>
              <w:rPr>
                <w:rFonts w:ascii="Arial" w:hAnsi="Arial" w:cs="Arial"/>
                <w:sz w:val="20"/>
                <w:szCs w:val="20"/>
              </w:rPr>
            </w:pPr>
            <w:r w:rsidRPr="001D4A8D">
              <w:rPr>
                <w:rFonts w:ascii="Arial" w:hAnsi="Arial" w:cs="Arial"/>
                <w:sz w:val="20"/>
                <w:szCs w:val="20"/>
              </w:rPr>
              <w:t xml:space="preserve">Referred to </w:t>
            </w:r>
            <w:r w:rsidR="00CC297A" w:rsidRPr="001D4A8D">
              <w:rPr>
                <w:rFonts w:ascii="Arial" w:hAnsi="Arial" w:cs="Arial"/>
                <w:sz w:val="20"/>
                <w:szCs w:val="20"/>
              </w:rPr>
              <w:t>Children &amp; Families</w:t>
            </w:r>
          </w:p>
        </w:tc>
      </w:tr>
      <w:tr w:rsidR="00CC297A" w:rsidRPr="001D4A8D" w14:paraId="19BDEFC1" w14:textId="77777777" w:rsidTr="00A6213D">
        <w:trPr>
          <w:trHeight w:val="144"/>
        </w:trPr>
        <w:tc>
          <w:tcPr>
            <w:tcW w:w="1752" w:type="dxa"/>
            <w:vMerge w:val="restart"/>
            <w:tcBorders>
              <w:top w:val="single" w:sz="12" w:space="0" w:color="auto"/>
              <w:left w:val="single" w:sz="12" w:space="0" w:color="auto"/>
            </w:tcBorders>
          </w:tcPr>
          <w:p w14:paraId="15CA8731" w14:textId="643827DF"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Clubhouse</w:t>
            </w:r>
            <w:r w:rsidR="00BD502A" w:rsidRPr="001D4A8D">
              <w:rPr>
                <w:rFonts w:ascii="Arial" w:eastAsia="PMingLiU" w:hAnsi="Arial" w:cs="Arial"/>
                <w:lang w:eastAsia="zh-TW"/>
              </w:rPr>
              <w:t>s</w:t>
            </w:r>
          </w:p>
        </w:tc>
        <w:tc>
          <w:tcPr>
            <w:tcW w:w="6695" w:type="dxa"/>
            <w:vMerge w:val="restart"/>
            <w:tcBorders>
              <w:top w:val="single" w:sz="12" w:space="0" w:color="auto"/>
              <w:left w:val="single" w:sz="4" w:space="0" w:color="000000"/>
              <w:right w:val="single" w:sz="12" w:space="0" w:color="auto"/>
            </w:tcBorders>
          </w:tcPr>
          <w:p w14:paraId="15B121AB" w14:textId="445A6C5B" w:rsidR="00CC297A" w:rsidRPr="001D4A8D" w:rsidRDefault="00BD502A" w:rsidP="00CC297A">
            <w:pPr>
              <w:rPr>
                <w:rFonts w:ascii="Arial" w:eastAsia="PMingLiU" w:hAnsi="Arial" w:cs="Arial"/>
                <w:lang w:eastAsia="zh-TW"/>
              </w:rPr>
            </w:pPr>
            <w:r w:rsidRPr="001D4A8D">
              <w:rPr>
                <w:rFonts w:ascii="Arial" w:eastAsia="PMingLiU" w:hAnsi="Arial" w:cs="Arial"/>
                <w:lang w:eastAsia="zh-TW"/>
              </w:rPr>
              <w:t>Increases access to Clubhouse Model programs across the state</w:t>
            </w:r>
          </w:p>
        </w:tc>
        <w:tc>
          <w:tcPr>
            <w:tcW w:w="1228" w:type="dxa"/>
            <w:tcBorders>
              <w:top w:val="single" w:sz="12" w:space="0" w:color="auto"/>
              <w:left w:val="single" w:sz="12" w:space="0" w:color="auto"/>
            </w:tcBorders>
          </w:tcPr>
          <w:p w14:paraId="47655FCF" w14:textId="77777777" w:rsidR="00CC297A" w:rsidRPr="001D4A8D" w:rsidRDefault="00CC297A" w:rsidP="00CC297A">
            <w:pPr>
              <w:rPr>
                <w:rFonts w:ascii="Arial" w:hAnsi="Arial" w:cs="Arial"/>
                <w:sz w:val="20"/>
                <w:szCs w:val="20"/>
              </w:rPr>
            </w:pPr>
          </w:p>
        </w:tc>
        <w:tc>
          <w:tcPr>
            <w:tcW w:w="2250" w:type="dxa"/>
            <w:tcBorders>
              <w:top w:val="single" w:sz="12" w:space="0" w:color="auto"/>
            </w:tcBorders>
          </w:tcPr>
          <w:p w14:paraId="17195501" w14:textId="77777777" w:rsidR="00CC297A" w:rsidRPr="001D4A8D" w:rsidRDefault="00CC297A" w:rsidP="00CC297A">
            <w:pPr>
              <w:rPr>
                <w:rFonts w:ascii="Arial" w:hAnsi="Arial" w:cs="Arial"/>
                <w:sz w:val="20"/>
                <w:szCs w:val="20"/>
              </w:rPr>
            </w:pPr>
          </w:p>
        </w:tc>
        <w:tc>
          <w:tcPr>
            <w:tcW w:w="1705" w:type="dxa"/>
            <w:tcBorders>
              <w:top w:val="single" w:sz="12" w:space="0" w:color="auto"/>
              <w:right w:val="single" w:sz="12" w:space="0" w:color="auto"/>
            </w:tcBorders>
          </w:tcPr>
          <w:p w14:paraId="41DEC1CF" w14:textId="77777777" w:rsidR="00CC297A" w:rsidRPr="001D4A8D" w:rsidRDefault="00CC297A" w:rsidP="00CC297A">
            <w:pPr>
              <w:rPr>
                <w:rFonts w:ascii="Arial" w:hAnsi="Arial" w:cs="Arial"/>
                <w:sz w:val="20"/>
                <w:szCs w:val="20"/>
              </w:rPr>
            </w:pPr>
          </w:p>
        </w:tc>
      </w:tr>
      <w:tr w:rsidR="00CC297A" w:rsidRPr="001D4A8D" w14:paraId="7FD47CF4" w14:textId="77777777" w:rsidTr="00A6213D">
        <w:trPr>
          <w:trHeight w:val="144"/>
        </w:trPr>
        <w:tc>
          <w:tcPr>
            <w:tcW w:w="1752" w:type="dxa"/>
            <w:vMerge/>
            <w:tcBorders>
              <w:left w:val="single" w:sz="12" w:space="0" w:color="auto"/>
              <w:bottom w:val="single" w:sz="12" w:space="0" w:color="auto"/>
              <w:right w:val="single" w:sz="4" w:space="0" w:color="000000"/>
            </w:tcBorders>
          </w:tcPr>
          <w:p w14:paraId="53200718" w14:textId="77777777" w:rsidR="00CC297A" w:rsidRPr="001D4A8D" w:rsidRDefault="00CC297A" w:rsidP="00CC297A">
            <w:pPr>
              <w:rPr>
                <w:rFonts w:ascii="Arial" w:eastAsia="PMingLiU" w:hAnsi="Arial" w:cs="Arial"/>
                <w:lang w:eastAsia="zh-TW"/>
              </w:rPr>
            </w:pPr>
          </w:p>
        </w:tc>
        <w:tc>
          <w:tcPr>
            <w:tcW w:w="6695" w:type="dxa"/>
            <w:vMerge/>
            <w:tcBorders>
              <w:left w:val="single" w:sz="4" w:space="0" w:color="000000"/>
              <w:bottom w:val="single" w:sz="12" w:space="0" w:color="auto"/>
              <w:right w:val="single" w:sz="12" w:space="0" w:color="auto"/>
            </w:tcBorders>
          </w:tcPr>
          <w:p w14:paraId="0EBD1025" w14:textId="77777777" w:rsidR="00CC297A" w:rsidRPr="001D4A8D" w:rsidRDefault="00CC297A" w:rsidP="00CC297A">
            <w:pPr>
              <w:rPr>
                <w:rFonts w:ascii="Arial" w:hAnsi="Arial" w:cs="Arial"/>
              </w:rPr>
            </w:pPr>
          </w:p>
        </w:tc>
        <w:tc>
          <w:tcPr>
            <w:tcW w:w="1228" w:type="dxa"/>
            <w:tcBorders>
              <w:left w:val="single" w:sz="12" w:space="0" w:color="auto"/>
              <w:bottom w:val="single" w:sz="12" w:space="0" w:color="auto"/>
            </w:tcBorders>
            <w:shd w:val="clear" w:color="auto" w:fill="E7E6E6" w:themeFill="background2"/>
          </w:tcPr>
          <w:p w14:paraId="0621088D" w14:textId="77777777" w:rsidR="00CC297A" w:rsidRPr="001D4A8D" w:rsidRDefault="00CC297A" w:rsidP="00CC297A">
            <w:pPr>
              <w:rPr>
                <w:rFonts w:ascii="Arial" w:hAnsi="Arial" w:cs="Arial"/>
                <w:sz w:val="20"/>
                <w:szCs w:val="20"/>
              </w:rPr>
            </w:pPr>
          </w:p>
        </w:tc>
        <w:tc>
          <w:tcPr>
            <w:tcW w:w="2250" w:type="dxa"/>
            <w:tcBorders>
              <w:bottom w:val="single" w:sz="12" w:space="0" w:color="auto"/>
            </w:tcBorders>
            <w:shd w:val="clear" w:color="auto" w:fill="E7E6E6" w:themeFill="background2"/>
          </w:tcPr>
          <w:p w14:paraId="3C51CA09" w14:textId="77777777" w:rsidR="00CC297A" w:rsidRPr="001D4A8D" w:rsidRDefault="00CC297A" w:rsidP="00CC297A">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28C099AE" w14:textId="77777777" w:rsidR="00CC297A" w:rsidRPr="001D4A8D" w:rsidRDefault="00CC297A" w:rsidP="00CC297A">
            <w:pPr>
              <w:rPr>
                <w:rFonts w:ascii="Arial" w:hAnsi="Arial" w:cs="Arial"/>
                <w:sz w:val="20"/>
                <w:szCs w:val="20"/>
              </w:rPr>
            </w:pPr>
          </w:p>
        </w:tc>
      </w:tr>
      <w:tr w:rsidR="00CC297A" w:rsidRPr="001D4A8D" w14:paraId="3E1E39F7" w14:textId="77777777" w:rsidTr="00A6213D">
        <w:trPr>
          <w:trHeight w:val="144"/>
        </w:trPr>
        <w:tc>
          <w:tcPr>
            <w:tcW w:w="1752" w:type="dxa"/>
            <w:vMerge w:val="restart"/>
            <w:tcBorders>
              <w:top w:val="single" w:sz="12" w:space="0" w:color="auto"/>
              <w:left w:val="single" w:sz="12" w:space="0" w:color="auto"/>
            </w:tcBorders>
          </w:tcPr>
          <w:p w14:paraId="32BA8A80" w14:textId="21F7C074"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Collaborative Care</w:t>
            </w:r>
          </w:p>
        </w:tc>
        <w:tc>
          <w:tcPr>
            <w:tcW w:w="6695" w:type="dxa"/>
            <w:vMerge w:val="restart"/>
            <w:tcBorders>
              <w:top w:val="single" w:sz="12" w:space="0" w:color="auto"/>
              <w:right w:val="single" w:sz="12" w:space="0" w:color="auto"/>
            </w:tcBorders>
          </w:tcPr>
          <w:p w14:paraId="39602758" w14:textId="7B69A786" w:rsidR="00CC297A" w:rsidRPr="001D4A8D" w:rsidRDefault="00BD502A" w:rsidP="00CC297A">
            <w:pPr>
              <w:rPr>
                <w:rFonts w:ascii="Arial" w:eastAsia="PMingLiU" w:hAnsi="Arial" w:cs="Arial"/>
                <w:lang w:eastAsia="zh-TW"/>
              </w:rPr>
            </w:pPr>
            <w:r w:rsidRPr="001D4A8D">
              <w:rPr>
                <w:rFonts w:ascii="Arial" w:eastAsia="PMingLiU" w:hAnsi="Arial" w:cs="Arial"/>
                <w:lang w:eastAsia="zh-TW"/>
              </w:rPr>
              <w:t>Makes the Collaborative Care Model a Medicaid benefit</w:t>
            </w:r>
          </w:p>
        </w:tc>
        <w:tc>
          <w:tcPr>
            <w:tcW w:w="1228" w:type="dxa"/>
            <w:tcBorders>
              <w:top w:val="single" w:sz="12" w:space="0" w:color="auto"/>
              <w:left w:val="single" w:sz="12" w:space="0" w:color="auto"/>
            </w:tcBorders>
          </w:tcPr>
          <w:p w14:paraId="38D22273" w14:textId="389EE6A0" w:rsidR="00CC297A" w:rsidRPr="001D4A8D" w:rsidRDefault="00CC297A" w:rsidP="00CC297A">
            <w:pPr>
              <w:rPr>
                <w:rFonts w:ascii="Arial" w:hAnsi="Arial" w:cs="Arial"/>
                <w:sz w:val="20"/>
                <w:szCs w:val="20"/>
              </w:rPr>
            </w:pPr>
            <w:r w:rsidRPr="001D4A8D">
              <w:rPr>
                <w:rFonts w:ascii="Arial" w:hAnsi="Arial" w:cs="Arial"/>
                <w:sz w:val="20"/>
                <w:szCs w:val="20"/>
              </w:rPr>
              <w:t>SF 8</w:t>
            </w:r>
          </w:p>
        </w:tc>
        <w:tc>
          <w:tcPr>
            <w:tcW w:w="2250" w:type="dxa"/>
            <w:tcBorders>
              <w:top w:val="single" w:sz="12" w:space="0" w:color="auto"/>
            </w:tcBorders>
          </w:tcPr>
          <w:p w14:paraId="70807A8E" w14:textId="31735C75" w:rsidR="00CC297A" w:rsidRPr="001D4A8D" w:rsidRDefault="00CC297A" w:rsidP="00CC297A">
            <w:pPr>
              <w:rPr>
                <w:rFonts w:ascii="Arial" w:hAnsi="Arial" w:cs="Arial"/>
                <w:sz w:val="20"/>
                <w:szCs w:val="20"/>
              </w:rPr>
            </w:pPr>
            <w:r w:rsidRPr="001D4A8D">
              <w:rPr>
                <w:rFonts w:ascii="Arial" w:hAnsi="Arial" w:cs="Arial"/>
                <w:sz w:val="20"/>
                <w:szCs w:val="20"/>
              </w:rPr>
              <w:t>Boldon</w:t>
            </w:r>
            <w:r w:rsidR="006609EF">
              <w:rPr>
                <w:rFonts w:ascii="Arial" w:hAnsi="Arial" w:cs="Arial"/>
                <w:sz w:val="20"/>
                <w:szCs w:val="20"/>
              </w:rPr>
              <w:t>, Mann, Mitchell, Abeler, Utke,</w:t>
            </w:r>
          </w:p>
        </w:tc>
        <w:tc>
          <w:tcPr>
            <w:tcW w:w="1705" w:type="dxa"/>
            <w:tcBorders>
              <w:top w:val="single" w:sz="12" w:space="0" w:color="auto"/>
              <w:right w:val="single" w:sz="12" w:space="0" w:color="auto"/>
            </w:tcBorders>
          </w:tcPr>
          <w:p w14:paraId="0BEA7F31" w14:textId="51CA3762" w:rsidR="00CC297A" w:rsidRPr="001D4A8D" w:rsidRDefault="00BD502A" w:rsidP="00CC297A">
            <w:pPr>
              <w:rPr>
                <w:rFonts w:ascii="Arial" w:hAnsi="Arial" w:cs="Arial"/>
                <w:sz w:val="20"/>
                <w:szCs w:val="20"/>
              </w:rPr>
            </w:pPr>
            <w:r w:rsidRPr="001D4A8D">
              <w:rPr>
                <w:rFonts w:ascii="Arial" w:hAnsi="Arial" w:cs="Arial"/>
                <w:sz w:val="20"/>
                <w:szCs w:val="20"/>
              </w:rPr>
              <w:t>Laid over in Health on 2/26</w:t>
            </w:r>
          </w:p>
        </w:tc>
      </w:tr>
      <w:tr w:rsidR="00CC297A" w:rsidRPr="001D4A8D" w14:paraId="7C3E66A6" w14:textId="77777777" w:rsidTr="00A6213D">
        <w:trPr>
          <w:trHeight w:val="144"/>
        </w:trPr>
        <w:tc>
          <w:tcPr>
            <w:tcW w:w="1752" w:type="dxa"/>
            <w:vMerge/>
            <w:tcBorders>
              <w:left w:val="single" w:sz="12" w:space="0" w:color="auto"/>
            </w:tcBorders>
          </w:tcPr>
          <w:p w14:paraId="5A94B65B" w14:textId="77777777" w:rsidR="00CC297A" w:rsidRPr="001D4A8D" w:rsidRDefault="00CC297A" w:rsidP="00CC297A">
            <w:pPr>
              <w:rPr>
                <w:rFonts w:ascii="Arial" w:eastAsia="PMingLiU" w:hAnsi="Arial" w:cs="Arial"/>
                <w:lang w:eastAsia="zh-TW"/>
              </w:rPr>
            </w:pPr>
          </w:p>
        </w:tc>
        <w:tc>
          <w:tcPr>
            <w:tcW w:w="6695" w:type="dxa"/>
            <w:vMerge/>
            <w:tcBorders>
              <w:right w:val="single" w:sz="12" w:space="0" w:color="auto"/>
            </w:tcBorders>
          </w:tcPr>
          <w:p w14:paraId="16249714" w14:textId="77777777" w:rsidR="00CC297A" w:rsidRPr="001D4A8D" w:rsidRDefault="00CC297A" w:rsidP="00CC297A">
            <w:pPr>
              <w:rPr>
                <w:rFonts w:ascii="Arial" w:eastAsia="PMingLiU" w:hAnsi="Arial" w:cs="Arial"/>
                <w:lang w:eastAsia="zh-TW"/>
              </w:rPr>
            </w:pPr>
          </w:p>
        </w:tc>
        <w:tc>
          <w:tcPr>
            <w:tcW w:w="1228" w:type="dxa"/>
            <w:tcBorders>
              <w:top w:val="single" w:sz="12" w:space="0" w:color="auto"/>
              <w:left w:val="single" w:sz="12" w:space="0" w:color="auto"/>
            </w:tcBorders>
            <w:shd w:val="clear" w:color="auto" w:fill="E7E6E6" w:themeFill="background2"/>
          </w:tcPr>
          <w:p w14:paraId="14C4A1D3" w14:textId="4D91D11C" w:rsidR="00CC297A" w:rsidRPr="001D4A8D" w:rsidRDefault="00CC297A" w:rsidP="00CC297A">
            <w:pPr>
              <w:rPr>
                <w:rFonts w:ascii="Arial" w:hAnsi="Arial" w:cs="Arial"/>
                <w:sz w:val="20"/>
                <w:szCs w:val="20"/>
              </w:rPr>
            </w:pPr>
            <w:r w:rsidRPr="001D4A8D">
              <w:rPr>
                <w:rFonts w:ascii="Arial" w:hAnsi="Arial" w:cs="Arial"/>
                <w:sz w:val="20"/>
                <w:szCs w:val="20"/>
              </w:rPr>
              <w:t>HF 958</w:t>
            </w:r>
          </w:p>
        </w:tc>
        <w:tc>
          <w:tcPr>
            <w:tcW w:w="2250" w:type="dxa"/>
            <w:tcBorders>
              <w:top w:val="single" w:sz="12" w:space="0" w:color="auto"/>
            </w:tcBorders>
            <w:shd w:val="clear" w:color="auto" w:fill="E7E6E6" w:themeFill="background2"/>
          </w:tcPr>
          <w:p w14:paraId="5680E109" w14:textId="7CE2E820" w:rsidR="00CC297A" w:rsidRPr="001D4A8D" w:rsidRDefault="00CC297A" w:rsidP="00CC297A">
            <w:pPr>
              <w:rPr>
                <w:rFonts w:ascii="Arial" w:hAnsi="Arial" w:cs="Arial"/>
                <w:sz w:val="20"/>
                <w:szCs w:val="20"/>
              </w:rPr>
            </w:pPr>
            <w:r w:rsidRPr="001D4A8D">
              <w:rPr>
                <w:rFonts w:ascii="Arial" w:hAnsi="Arial" w:cs="Arial"/>
                <w:sz w:val="20"/>
                <w:szCs w:val="20"/>
              </w:rPr>
              <w:t>Nadeau</w:t>
            </w:r>
            <w:r w:rsidR="006609EF">
              <w:rPr>
                <w:rFonts w:ascii="Arial" w:hAnsi="Arial" w:cs="Arial"/>
                <w:sz w:val="20"/>
                <w:szCs w:val="20"/>
              </w:rPr>
              <w:t>, B</w:t>
            </w:r>
            <w:r w:rsidR="006609EF" w:rsidRPr="006609EF">
              <w:rPr>
                <w:rFonts w:ascii="Arial" w:hAnsi="Arial" w:cs="Arial"/>
                <w:sz w:val="20"/>
                <w:szCs w:val="20"/>
              </w:rPr>
              <w:t>ierman</w:t>
            </w:r>
            <w:r w:rsidR="006609EF">
              <w:rPr>
                <w:rFonts w:ascii="Arial" w:hAnsi="Arial" w:cs="Arial"/>
                <w:sz w:val="20"/>
                <w:szCs w:val="20"/>
              </w:rPr>
              <w:t xml:space="preserve">, </w:t>
            </w:r>
            <w:r w:rsidR="006609EF" w:rsidRPr="006609EF">
              <w:rPr>
                <w:rFonts w:ascii="Arial" w:hAnsi="Arial" w:cs="Arial"/>
                <w:sz w:val="20"/>
                <w:szCs w:val="20"/>
              </w:rPr>
              <w:t>Backer</w:t>
            </w:r>
            <w:r w:rsidR="006609EF">
              <w:rPr>
                <w:rFonts w:ascii="Arial" w:hAnsi="Arial" w:cs="Arial"/>
                <w:sz w:val="20"/>
                <w:szCs w:val="20"/>
              </w:rPr>
              <w:t xml:space="preserve">, </w:t>
            </w:r>
            <w:r w:rsidR="006609EF" w:rsidRPr="006609EF">
              <w:rPr>
                <w:rFonts w:ascii="Arial" w:hAnsi="Arial" w:cs="Arial"/>
                <w:sz w:val="20"/>
                <w:szCs w:val="20"/>
              </w:rPr>
              <w:t>Perryman</w:t>
            </w:r>
            <w:r w:rsidR="006609EF">
              <w:rPr>
                <w:rFonts w:ascii="Arial" w:hAnsi="Arial" w:cs="Arial"/>
                <w:sz w:val="20"/>
                <w:szCs w:val="20"/>
              </w:rPr>
              <w:t xml:space="preserve">, </w:t>
            </w:r>
            <w:r w:rsidR="006609EF" w:rsidRPr="006609EF">
              <w:rPr>
                <w:rFonts w:ascii="Arial" w:hAnsi="Arial" w:cs="Arial"/>
                <w:sz w:val="20"/>
                <w:szCs w:val="20"/>
              </w:rPr>
              <w:t>Elkins</w:t>
            </w:r>
            <w:r w:rsidR="006609EF">
              <w:rPr>
                <w:rFonts w:ascii="Arial" w:hAnsi="Arial" w:cs="Arial"/>
                <w:sz w:val="20"/>
                <w:szCs w:val="20"/>
              </w:rPr>
              <w:t xml:space="preserve">, </w:t>
            </w:r>
            <w:r w:rsidR="006609EF" w:rsidRPr="006609EF">
              <w:rPr>
                <w:rFonts w:ascii="Arial" w:hAnsi="Arial" w:cs="Arial"/>
                <w:sz w:val="20"/>
                <w:szCs w:val="20"/>
              </w:rPr>
              <w:t>Pursell</w:t>
            </w:r>
            <w:r w:rsidR="006609EF">
              <w:rPr>
                <w:rFonts w:ascii="Arial" w:hAnsi="Arial" w:cs="Arial"/>
                <w:sz w:val="20"/>
                <w:szCs w:val="20"/>
              </w:rPr>
              <w:t xml:space="preserve">, </w:t>
            </w:r>
            <w:r w:rsidR="006609EF" w:rsidRPr="006609EF">
              <w:rPr>
                <w:rFonts w:ascii="Arial" w:hAnsi="Arial" w:cs="Arial"/>
                <w:sz w:val="20"/>
                <w:szCs w:val="20"/>
              </w:rPr>
              <w:t>Bahner</w:t>
            </w:r>
            <w:r w:rsidR="006609EF">
              <w:rPr>
                <w:rFonts w:ascii="Arial" w:hAnsi="Arial" w:cs="Arial"/>
                <w:sz w:val="20"/>
                <w:szCs w:val="20"/>
              </w:rPr>
              <w:t xml:space="preserve">, </w:t>
            </w:r>
            <w:r w:rsidR="006609EF" w:rsidRPr="006609EF">
              <w:rPr>
                <w:rFonts w:ascii="Arial" w:hAnsi="Arial" w:cs="Arial"/>
                <w:sz w:val="20"/>
                <w:szCs w:val="20"/>
              </w:rPr>
              <w:t>Zeleznikar</w:t>
            </w:r>
            <w:r w:rsidR="006609EF">
              <w:rPr>
                <w:rFonts w:ascii="Arial" w:hAnsi="Arial" w:cs="Arial"/>
                <w:sz w:val="20"/>
                <w:szCs w:val="20"/>
              </w:rPr>
              <w:t>, F</w:t>
            </w:r>
            <w:r w:rsidR="006609EF" w:rsidRPr="006609EF">
              <w:rPr>
                <w:rFonts w:ascii="Arial" w:hAnsi="Arial" w:cs="Arial"/>
                <w:sz w:val="20"/>
                <w:szCs w:val="20"/>
              </w:rPr>
              <w:t>ischer</w:t>
            </w:r>
            <w:r w:rsidR="006609EF">
              <w:rPr>
                <w:rFonts w:ascii="Arial" w:hAnsi="Arial" w:cs="Arial"/>
                <w:sz w:val="20"/>
                <w:szCs w:val="20"/>
              </w:rPr>
              <w:t xml:space="preserve">, </w:t>
            </w:r>
            <w:r w:rsidR="006609EF" w:rsidRPr="006609EF">
              <w:rPr>
                <w:rFonts w:ascii="Arial" w:hAnsi="Arial" w:cs="Arial"/>
                <w:sz w:val="20"/>
                <w:szCs w:val="20"/>
              </w:rPr>
              <w:t>Virnig</w:t>
            </w:r>
          </w:p>
        </w:tc>
        <w:tc>
          <w:tcPr>
            <w:tcW w:w="1705" w:type="dxa"/>
            <w:tcBorders>
              <w:top w:val="single" w:sz="12" w:space="0" w:color="auto"/>
              <w:right w:val="single" w:sz="12" w:space="0" w:color="auto"/>
            </w:tcBorders>
            <w:shd w:val="clear" w:color="auto" w:fill="E7E6E6" w:themeFill="background2"/>
          </w:tcPr>
          <w:p w14:paraId="2945F7C1" w14:textId="4C33C975" w:rsidR="00CC297A" w:rsidRPr="001D4A8D" w:rsidRDefault="00BD502A" w:rsidP="00CC297A">
            <w:pPr>
              <w:rPr>
                <w:rFonts w:ascii="Arial" w:hAnsi="Arial" w:cs="Arial"/>
                <w:sz w:val="20"/>
                <w:szCs w:val="20"/>
              </w:rPr>
            </w:pPr>
            <w:r w:rsidRPr="001D4A8D">
              <w:rPr>
                <w:rFonts w:ascii="Arial" w:hAnsi="Arial" w:cs="Arial"/>
                <w:sz w:val="20"/>
                <w:szCs w:val="20"/>
              </w:rPr>
              <w:t xml:space="preserve">Laid over in </w:t>
            </w:r>
            <w:r w:rsidR="005C2EF8">
              <w:rPr>
                <w:rFonts w:ascii="Arial" w:hAnsi="Arial" w:cs="Arial"/>
                <w:sz w:val="20"/>
                <w:szCs w:val="20"/>
              </w:rPr>
              <w:t>Human Services</w:t>
            </w:r>
            <w:r w:rsidRPr="001D4A8D">
              <w:rPr>
                <w:rFonts w:ascii="Arial" w:hAnsi="Arial" w:cs="Arial"/>
                <w:sz w:val="20"/>
                <w:szCs w:val="20"/>
              </w:rPr>
              <w:t xml:space="preserve"> on </w:t>
            </w:r>
            <w:r w:rsidR="005C2EF8">
              <w:rPr>
                <w:rFonts w:ascii="Arial" w:hAnsi="Arial" w:cs="Arial"/>
                <w:sz w:val="20"/>
                <w:szCs w:val="20"/>
              </w:rPr>
              <w:t>3/6</w:t>
            </w:r>
          </w:p>
        </w:tc>
      </w:tr>
      <w:tr w:rsidR="00CC297A" w:rsidRPr="001D4A8D" w14:paraId="0ECAEAF9"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73BAF559" w14:textId="5BCF3951"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College Linked Funding</w:t>
            </w:r>
          </w:p>
        </w:tc>
        <w:tc>
          <w:tcPr>
            <w:tcW w:w="6695" w:type="dxa"/>
            <w:vMerge w:val="restart"/>
            <w:tcBorders>
              <w:top w:val="single" w:sz="12" w:space="0" w:color="auto"/>
              <w:right w:val="single" w:sz="12" w:space="0" w:color="auto"/>
            </w:tcBorders>
            <w:shd w:val="clear" w:color="auto" w:fill="D9E2F3" w:themeFill="accent1" w:themeFillTint="33"/>
          </w:tcPr>
          <w:p w14:paraId="66634B65" w14:textId="37D6C85F"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Provides funding for community college-linked mental health services</w:t>
            </w:r>
          </w:p>
        </w:tc>
        <w:tc>
          <w:tcPr>
            <w:tcW w:w="1228" w:type="dxa"/>
            <w:tcBorders>
              <w:top w:val="single" w:sz="12" w:space="0" w:color="auto"/>
              <w:left w:val="single" w:sz="12" w:space="0" w:color="auto"/>
            </w:tcBorders>
          </w:tcPr>
          <w:p w14:paraId="0A504978" w14:textId="67D344BD" w:rsidR="00CC297A" w:rsidRPr="001D4A8D" w:rsidRDefault="005C2EF8" w:rsidP="00CC297A">
            <w:pPr>
              <w:rPr>
                <w:rFonts w:ascii="Arial" w:hAnsi="Arial" w:cs="Arial"/>
                <w:sz w:val="20"/>
                <w:szCs w:val="20"/>
              </w:rPr>
            </w:pPr>
            <w:r>
              <w:rPr>
                <w:rFonts w:ascii="Arial" w:hAnsi="Arial" w:cs="Arial"/>
                <w:sz w:val="20"/>
                <w:szCs w:val="20"/>
              </w:rPr>
              <w:t>SF2343</w:t>
            </w:r>
          </w:p>
        </w:tc>
        <w:tc>
          <w:tcPr>
            <w:tcW w:w="2250" w:type="dxa"/>
            <w:tcBorders>
              <w:top w:val="single" w:sz="12" w:space="0" w:color="auto"/>
            </w:tcBorders>
          </w:tcPr>
          <w:p w14:paraId="451F4A06" w14:textId="45D1A639" w:rsidR="00CC297A" w:rsidRPr="001D4A8D" w:rsidRDefault="00CC297A" w:rsidP="00CC297A">
            <w:pPr>
              <w:rPr>
                <w:rFonts w:ascii="Arial" w:hAnsi="Arial" w:cs="Arial"/>
                <w:sz w:val="20"/>
                <w:szCs w:val="20"/>
              </w:rPr>
            </w:pPr>
            <w:r w:rsidRPr="001D4A8D">
              <w:rPr>
                <w:rFonts w:ascii="Arial" w:hAnsi="Arial" w:cs="Arial"/>
                <w:sz w:val="20"/>
                <w:szCs w:val="20"/>
              </w:rPr>
              <w:t>Kupec</w:t>
            </w:r>
          </w:p>
        </w:tc>
        <w:tc>
          <w:tcPr>
            <w:tcW w:w="1705" w:type="dxa"/>
            <w:tcBorders>
              <w:top w:val="single" w:sz="12" w:space="0" w:color="auto"/>
              <w:right w:val="single" w:sz="12" w:space="0" w:color="auto"/>
            </w:tcBorders>
          </w:tcPr>
          <w:p w14:paraId="5C67A251" w14:textId="53B3E3E5" w:rsidR="00CC297A" w:rsidRPr="001D4A8D" w:rsidRDefault="005C2EF8" w:rsidP="00CC297A">
            <w:pPr>
              <w:rPr>
                <w:rFonts w:ascii="Arial" w:hAnsi="Arial" w:cs="Arial"/>
                <w:sz w:val="20"/>
                <w:szCs w:val="20"/>
              </w:rPr>
            </w:pPr>
            <w:r>
              <w:rPr>
                <w:rFonts w:ascii="Arial" w:hAnsi="Arial" w:cs="Arial"/>
                <w:sz w:val="20"/>
                <w:szCs w:val="20"/>
              </w:rPr>
              <w:t>Referred to Higher Education</w:t>
            </w:r>
          </w:p>
        </w:tc>
      </w:tr>
      <w:tr w:rsidR="00CC297A" w:rsidRPr="001D4A8D" w14:paraId="30A6DCC1"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3F939100" w14:textId="77777777" w:rsidR="00CC297A" w:rsidRPr="001D4A8D" w:rsidRDefault="00CC297A"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1B2E803F" w14:textId="77777777" w:rsidR="00CC297A" w:rsidRPr="001D4A8D" w:rsidRDefault="00CC297A"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61FAC328" w14:textId="77777777" w:rsidR="00CC297A" w:rsidRPr="001D4A8D" w:rsidRDefault="00CC297A" w:rsidP="00CC297A">
            <w:pPr>
              <w:rPr>
                <w:rFonts w:ascii="Arial" w:hAnsi="Arial" w:cs="Arial"/>
                <w:sz w:val="20"/>
                <w:szCs w:val="20"/>
              </w:rPr>
            </w:pPr>
          </w:p>
        </w:tc>
        <w:tc>
          <w:tcPr>
            <w:tcW w:w="2250" w:type="dxa"/>
            <w:tcBorders>
              <w:bottom w:val="single" w:sz="12" w:space="0" w:color="auto"/>
            </w:tcBorders>
            <w:shd w:val="clear" w:color="auto" w:fill="E7E6E6" w:themeFill="background2"/>
          </w:tcPr>
          <w:p w14:paraId="6C1DC04D" w14:textId="5EA203C1" w:rsidR="00CC297A" w:rsidRPr="001D4A8D" w:rsidRDefault="00FF2889" w:rsidP="00CC297A">
            <w:pPr>
              <w:rPr>
                <w:rFonts w:ascii="Arial" w:hAnsi="Arial" w:cs="Arial"/>
                <w:sz w:val="20"/>
                <w:szCs w:val="20"/>
              </w:rPr>
            </w:pPr>
            <w:r>
              <w:rPr>
                <w:rFonts w:ascii="Arial" w:hAnsi="Arial" w:cs="Arial"/>
                <w:sz w:val="20"/>
                <w:szCs w:val="20"/>
              </w:rPr>
              <w:t>Hanson, J.</w:t>
            </w:r>
          </w:p>
        </w:tc>
        <w:tc>
          <w:tcPr>
            <w:tcW w:w="1705" w:type="dxa"/>
            <w:tcBorders>
              <w:bottom w:val="single" w:sz="12" w:space="0" w:color="auto"/>
              <w:right w:val="single" w:sz="12" w:space="0" w:color="auto"/>
            </w:tcBorders>
            <w:shd w:val="clear" w:color="auto" w:fill="E7E6E6" w:themeFill="background2"/>
          </w:tcPr>
          <w:p w14:paraId="4C6743F5" w14:textId="77777777" w:rsidR="00CC297A" w:rsidRPr="001D4A8D" w:rsidRDefault="00CC297A" w:rsidP="00CC297A">
            <w:pPr>
              <w:rPr>
                <w:rFonts w:ascii="Arial" w:hAnsi="Arial" w:cs="Arial"/>
                <w:sz w:val="20"/>
                <w:szCs w:val="20"/>
              </w:rPr>
            </w:pPr>
          </w:p>
        </w:tc>
      </w:tr>
      <w:tr w:rsidR="00CC297A" w:rsidRPr="001D4A8D" w14:paraId="2B4A0F9B" w14:textId="532655DA" w:rsidTr="00A6213D">
        <w:trPr>
          <w:trHeight w:val="144"/>
        </w:trPr>
        <w:tc>
          <w:tcPr>
            <w:tcW w:w="1752" w:type="dxa"/>
            <w:vMerge w:val="restart"/>
            <w:tcBorders>
              <w:top w:val="single" w:sz="12" w:space="0" w:color="auto"/>
              <w:left w:val="single" w:sz="12" w:space="0" w:color="auto"/>
              <w:bottom w:val="single" w:sz="12" w:space="0" w:color="auto"/>
            </w:tcBorders>
            <w:shd w:val="clear" w:color="auto" w:fill="D9E2F3" w:themeFill="accent1" w:themeFillTint="33"/>
          </w:tcPr>
          <w:p w14:paraId="14B50974" w14:textId="175208A1"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Commerce</w:t>
            </w:r>
          </w:p>
        </w:tc>
        <w:tc>
          <w:tcPr>
            <w:tcW w:w="6695" w:type="dxa"/>
            <w:vMerge w:val="restart"/>
            <w:tcBorders>
              <w:top w:val="single" w:sz="12" w:space="0" w:color="auto"/>
              <w:bottom w:val="single" w:sz="12" w:space="0" w:color="auto"/>
              <w:right w:val="single" w:sz="12" w:space="0" w:color="auto"/>
            </w:tcBorders>
            <w:shd w:val="clear" w:color="auto" w:fill="D9E2F3" w:themeFill="accent1" w:themeFillTint="33"/>
          </w:tcPr>
          <w:p w14:paraId="00385FA4" w14:textId="4121BF1C" w:rsidR="00CC297A" w:rsidRPr="001D4A8D" w:rsidRDefault="00CC297A" w:rsidP="00CC297A">
            <w:pPr>
              <w:rPr>
                <w:rFonts w:ascii="Arial" w:hAnsi="Arial" w:cs="Arial"/>
              </w:rPr>
            </w:pPr>
            <w:r w:rsidRPr="001D4A8D">
              <w:rPr>
                <w:rFonts w:ascii="Arial" w:eastAsia="PMingLiU" w:hAnsi="Arial" w:cs="Arial"/>
                <w:lang w:eastAsia="zh-TW"/>
              </w:rPr>
              <w:t>Requires First Episode of Psychosis and Assertive Community Treatment coverage under private insurance, requires plans to cover work done by clinical trainees</w:t>
            </w:r>
          </w:p>
        </w:tc>
        <w:tc>
          <w:tcPr>
            <w:tcW w:w="1228" w:type="dxa"/>
            <w:tcBorders>
              <w:top w:val="single" w:sz="12" w:space="0" w:color="auto"/>
              <w:left w:val="single" w:sz="12" w:space="0" w:color="auto"/>
              <w:bottom w:val="single" w:sz="12" w:space="0" w:color="auto"/>
            </w:tcBorders>
          </w:tcPr>
          <w:p w14:paraId="0DB9C869" w14:textId="4FFD92B6" w:rsidR="00CC297A" w:rsidRPr="001D4A8D" w:rsidRDefault="00CC297A" w:rsidP="00CC297A">
            <w:pPr>
              <w:rPr>
                <w:rFonts w:ascii="Arial" w:hAnsi="Arial" w:cs="Arial"/>
                <w:sz w:val="20"/>
                <w:szCs w:val="20"/>
              </w:rPr>
            </w:pPr>
          </w:p>
        </w:tc>
        <w:tc>
          <w:tcPr>
            <w:tcW w:w="2250" w:type="dxa"/>
            <w:tcBorders>
              <w:top w:val="single" w:sz="12" w:space="0" w:color="auto"/>
              <w:bottom w:val="single" w:sz="12" w:space="0" w:color="auto"/>
            </w:tcBorders>
          </w:tcPr>
          <w:p w14:paraId="3FFD5D65" w14:textId="46AD7EF8" w:rsidR="00CC297A" w:rsidRPr="001D4A8D" w:rsidRDefault="00CC297A" w:rsidP="00CC297A">
            <w:pPr>
              <w:rPr>
                <w:rFonts w:ascii="Arial" w:hAnsi="Arial" w:cs="Arial"/>
                <w:sz w:val="20"/>
                <w:szCs w:val="20"/>
              </w:rPr>
            </w:pPr>
            <w:r w:rsidRPr="001D4A8D">
              <w:rPr>
                <w:rFonts w:ascii="Arial" w:hAnsi="Arial" w:cs="Arial"/>
                <w:sz w:val="20"/>
                <w:szCs w:val="20"/>
              </w:rPr>
              <w:t>Bierman</w:t>
            </w:r>
          </w:p>
        </w:tc>
        <w:tc>
          <w:tcPr>
            <w:tcW w:w="1705" w:type="dxa"/>
            <w:tcBorders>
              <w:top w:val="single" w:sz="12" w:space="0" w:color="auto"/>
              <w:bottom w:val="single" w:sz="12" w:space="0" w:color="auto"/>
              <w:right w:val="single" w:sz="12" w:space="0" w:color="auto"/>
            </w:tcBorders>
          </w:tcPr>
          <w:p w14:paraId="00B8625E" w14:textId="43198179" w:rsidR="00CC297A" w:rsidRPr="001D4A8D" w:rsidRDefault="00CC297A" w:rsidP="00CC297A">
            <w:pPr>
              <w:rPr>
                <w:rFonts w:ascii="Arial" w:hAnsi="Arial" w:cs="Arial"/>
                <w:sz w:val="20"/>
                <w:szCs w:val="20"/>
              </w:rPr>
            </w:pPr>
          </w:p>
        </w:tc>
      </w:tr>
      <w:tr w:rsidR="00CC297A" w:rsidRPr="001D4A8D" w14:paraId="197F0FEA" w14:textId="77777777" w:rsidTr="00A6213D">
        <w:trPr>
          <w:trHeight w:val="144"/>
        </w:trPr>
        <w:tc>
          <w:tcPr>
            <w:tcW w:w="1752" w:type="dxa"/>
            <w:vMerge/>
            <w:tcBorders>
              <w:top w:val="single" w:sz="12" w:space="0" w:color="auto"/>
              <w:left w:val="single" w:sz="12" w:space="0" w:color="auto"/>
              <w:bottom w:val="single" w:sz="12" w:space="0" w:color="auto"/>
            </w:tcBorders>
            <w:shd w:val="clear" w:color="auto" w:fill="D9E2F3" w:themeFill="accent1" w:themeFillTint="33"/>
          </w:tcPr>
          <w:p w14:paraId="7B0202AF" w14:textId="77777777" w:rsidR="00CC297A" w:rsidRPr="001D4A8D" w:rsidRDefault="00CC297A" w:rsidP="00CC297A">
            <w:pPr>
              <w:rPr>
                <w:rFonts w:ascii="Arial" w:eastAsia="PMingLiU" w:hAnsi="Arial" w:cs="Arial"/>
                <w:lang w:eastAsia="zh-TW"/>
              </w:rPr>
            </w:pPr>
          </w:p>
        </w:tc>
        <w:tc>
          <w:tcPr>
            <w:tcW w:w="6695" w:type="dxa"/>
            <w:vMerge/>
            <w:tcBorders>
              <w:top w:val="single" w:sz="12" w:space="0" w:color="auto"/>
              <w:bottom w:val="single" w:sz="12" w:space="0" w:color="auto"/>
              <w:right w:val="single" w:sz="12" w:space="0" w:color="auto"/>
            </w:tcBorders>
            <w:shd w:val="clear" w:color="auto" w:fill="D9E2F3" w:themeFill="accent1" w:themeFillTint="33"/>
          </w:tcPr>
          <w:p w14:paraId="172DF55A" w14:textId="77777777" w:rsidR="00CC297A" w:rsidRPr="001D4A8D" w:rsidRDefault="00CC297A" w:rsidP="00CC297A">
            <w:pPr>
              <w:rPr>
                <w:rFonts w:ascii="Arial" w:hAnsi="Arial" w:cs="Arial"/>
              </w:rPr>
            </w:pPr>
          </w:p>
        </w:tc>
        <w:tc>
          <w:tcPr>
            <w:tcW w:w="1228" w:type="dxa"/>
            <w:tcBorders>
              <w:top w:val="single" w:sz="12" w:space="0" w:color="auto"/>
              <w:left w:val="single" w:sz="12" w:space="0" w:color="auto"/>
              <w:bottom w:val="single" w:sz="12" w:space="0" w:color="auto"/>
            </w:tcBorders>
            <w:shd w:val="clear" w:color="auto" w:fill="E7E6E6" w:themeFill="background2"/>
          </w:tcPr>
          <w:p w14:paraId="592A483F" w14:textId="46AAB724" w:rsidR="00CC297A" w:rsidRPr="001D4A8D" w:rsidRDefault="00CC297A" w:rsidP="00CC297A">
            <w:pPr>
              <w:rPr>
                <w:rFonts w:ascii="Arial" w:hAnsi="Arial" w:cs="Arial"/>
                <w:sz w:val="20"/>
                <w:szCs w:val="20"/>
              </w:rPr>
            </w:pPr>
          </w:p>
        </w:tc>
        <w:tc>
          <w:tcPr>
            <w:tcW w:w="2250" w:type="dxa"/>
            <w:tcBorders>
              <w:top w:val="single" w:sz="12" w:space="0" w:color="auto"/>
              <w:bottom w:val="single" w:sz="12" w:space="0" w:color="auto"/>
            </w:tcBorders>
            <w:shd w:val="clear" w:color="auto" w:fill="E7E6E6" w:themeFill="background2"/>
          </w:tcPr>
          <w:p w14:paraId="46228ED3" w14:textId="7D873289" w:rsidR="00CC297A" w:rsidRPr="001D4A8D" w:rsidRDefault="00CC297A" w:rsidP="00CC297A">
            <w:pPr>
              <w:rPr>
                <w:rFonts w:ascii="Arial" w:hAnsi="Arial" w:cs="Arial"/>
                <w:sz w:val="20"/>
                <w:szCs w:val="20"/>
              </w:rPr>
            </w:pPr>
          </w:p>
        </w:tc>
        <w:tc>
          <w:tcPr>
            <w:tcW w:w="1705" w:type="dxa"/>
            <w:tcBorders>
              <w:top w:val="single" w:sz="12" w:space="0" w:color="auto"/>
              <w:bottom w:val="single" w:sz="12" w:space="0" w:color="auto"/>
              <w:right w:val="single" w:sz="12" w:space="0" w:color="auto"/>
            </w:tcBorders>
            <w:shd w:val="clear" w:color="auto" w:fill="E7E6E6" w:themeFill="background2"/>
          </w:tcPr>
          <w:p w14:paraId="36CE0ABF" w14:textId="4F25F079" w:rsidR="00CC297A" w:rsidRPr="001D4A8D" w:rsidRDefault="00CC297A" w:rsidP="00CC297A">
            <w:pPr>
              <w:rPr>
                <w:rFonts w:ascii="Arial" w:hAnsi="Arial" w:cs="Arial"/>
                <w:sz w:val="20"/>
                <w:szCs w:val="20"/>
              </w:rPr>
            </w:pPr>
          </w:p>
        </w:tc>
      </w:tr>
      <w:tr w:rsidR="00CC297A" w:rsidRPr="001D4A8D" w14:paraId="2D666120" w14:textId="3CA25F4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45C9B2DA" w14:textId="6680746E"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Commitment</w:t>
            </w:r>
          </w:p>
        </w:tc>
        <w:tc>
          <w:tcPr>
            <w:tcW w:w="6695" w:type="dxa"/>
            <w:vMerge w:val="restart"/>
            <w:tcBorders>
              <w:top w:val="single" w:sz="12" w:space="0" w:color="auto"/>
              <w:right w:val="single" w:sz="12" w:space="0" w:color="auto"/>
            </w:tcBorders>
            <w:shd w:val="clear" w:color="auto" w:fill="D9E2F3" w:themeFill="accent1" w:themeFillTint="33"/>
          </w:tcPr>
          <w:p w14:paraId="65DF28BD" w14:textId="68FF80FE"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Allows judges to place someone’s name who is under a stay of commitment on a list of people who cannot buy a gun and allows a judge to remove firearms, creates a transport hold task force</w:t>
            </w:r>
          </w:p>
        </w:tc>
        <w:tc>
          <w:tcPr>
            <w:tcW w:w="1228" w:type="dxa"/>
            <w:tcBorders>
              <w:top w:val="single" w:sz="12" w:space="0" w:color="auto"/>
              <w:left w:val="single" w:sz="12" w:space="0" w:color="auto"/>
            </w:tcBorders>
          </w:tcPr>
          <w:p w14:paraId="3D2AC8CE" w14:textId="052441AE" w:rsidR="00CC297A" w:rsidRPr="001D4A8D" w:rsidRDefault="00CC297A" w:rsidP="00CC297A">
            <w:pPr>
              <w:rPr>
                <w:rFonts w:ascii="Arial" w:hAnsi="Arial" w:cs="Arial"/>
                <w:sz w:val="20"/>
                <w:szCs w:val="20"/>
              </w:rPr>
            </w:pPr>
          </w:p>
        </w:tc>
        <w:tc>
          <w:tcPr>
            <w:tcW w:w="2250" w:type="dxa"/>
            <w:tcBorders>
              <w:top w:val="single" w:sz="12" w:space="0" w:color="auto"/>
            </w:tcBorders>
          </w:tcPr>
          <w:p w14:paraId="48E933FC" w14:textId="481B016C" w:rsidR="00CC297A" w:rsidRPr="001D4A8D" w:rsidRDefault="00CC297A" w:rsidP="00CC297A">
            <w:pPr>
              <w:rPr>
                <w:rFonts w:ascii="Arial" w:hAnsi="Arial" w:cs="Arial"/>
                <w:sz w:val="20"/>
                <w:szCs w:val="20"/>
              </w:rPr>
            </w:pPr>
          </w:p>
        </w:tc>
        <w:tc>
          <w:tcPr>
            <w:tcW w:w="1705" w:type="dxa"/>
            <w:tcBorders>
              <w:top w:val="single" w:sz="12" w:space="0" w:color="auto"/>
              <w:bottom w:val="single" w:sz="12" w:space="0" w:color="auto"/>
              <w:right w:val="single" w:sz="12" w:space="0" w:color="auto"/>
            </w:tcBorders>
          </w:tcPr>
          <w:p w14:paraId="3C2E0A4D" w14:textId="33564257" w:rsidR="00CC297A" w:rsidRPr="001D4A8D" w:rsidRDefault="00CC297A" w:rsidP="00CC297A">
            <w:pPr>
              <w:rPr>
                <w:rFonts w:ascii="Arial" w:hAnsi="Arial" w:cs="Arial"/>
                <w:sz w:val="20"/>
                <w:szCs w:val="20"/>
              </w:rPr>
            </w:pPr>
          </w:p>
        </w:tc>
      </w:tr>
      <w:tr w:rsidR="00CC297A" w:rsidRPr="001D4A8D" w14:paraId="7E101521"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5813E714" w14:textId="77777777" w:rsidR="00CC297A" w:rsidRPr="001D4A8D" w:rsidRDefault="00CC297A"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0E94C708" w14:textId="77777777" w:rsidR="00CC297A" w:rsidRPr="001D4A8D" w:rsidRDefault="00CC297A"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7CA42C6F" w14:textId="77777777" w:rsidR="00CC297A" w:rsidRPr="001D4A8D" w:rsidRDefault="00CC297A" w:rsidP="00CC297A">
            <w:pPr>
              <w:rPr>
                <w:rFonts w:ascii="Arial" w:hAnsi="Arial" w:cs="Arial"/>
                <w:sz w:val="20"/>
                <w:szCs w:val="20"/>
              </w:rPr>
            </w:pPr>
          </w:p>
        </w:tc>
        <w:tc>
          <w:tcPr>
            <w:tcW w:w="2250" w:type="dxa"/>
            <w:tcBorders>
              <w:bottom w:val="single" w:sz="12" w:space="0" w:color="auto"/>
            </w:tcBorders>
            <w:shd w:val="clear" w:color="auto" w:fill="E7E6E6" w:themeFill="background2"/>
          </w:tcPr>
          <w:p w14:paraId="414996CF" w14:textId="4EEF606F" w:rsidR="00CC297A" w:rsidRPr="001D4A8D" w:rsidRDefault="00CC297A" w:rsidP="00CC297A">
            <w:pPr>
              <w:rPr>
                <w:rFonts w:ascii="Arial" w:hAnsi="Arial" w:cs="Arial"/>
                <w:sz w:val="20"/>
                <w:szCs w:val="20"/>
              </w:rPr>
            </w:pPr>
          </w:p>
        </w:tc>
        <w:tc>
          <w:tcPr>
            <w:tcW w:w="1705" w:type="dxa"/>
            <w:tcBorders>
              <w:top w:val="single" w:sz="12" w:space="0" w:color="auto"/>
              <w:bottom w:val="single" w:sz="12" w:space="0" w:color="auto"/>
              <w:right w:val="single" w:sz="12" w:space="0" w:color="auto"/>
            </w:tcBorders>
            <w:shd w:val="clear" w:color="auto" w:fill="E7E6E6" w:themeFill="background2"/>
          </w:tcPr>
          <w:p w14:paraId="3F2B6009" w14:textId="77777777" w:rsidR="00CC297A" w:rsidRPr="001D4A8D" w:rsidRDefault="00CC297A" w:rsidP="00CC297A">
            <w:pPr>
              <w:rPr>
                <w:rFonts w:ascii="Arial" w:hAnsi="Arial" w:cs="Arial"/>
                <w:sz w:val="20"/>
                <w:szCs w:val="20"/>
              </w:rPr>
            </w:pPr>
          </w:p>
        </w:tc>
      </w:tr>
      <w:tr w:rsidR="00CC297A" w:rsidRPr="001D4A8D" w14:paraId="38F47DCE" w14:textId="77777777" w:rsidTr="00A6213D">
        <w:trPr>
          <w:trHeight w:val="144"/>
        </w:trPr>
        <w:tc>
          <w:tcPr>
            <w:tcW w:w="1752" w:type="dxa"/>
            <w:vMerge w:val="restart"/>
            <w:tcBorders>
              <w:top w:val="single" w:sz="12" w:space="0" w:color="auto"/>
              <w:left w:val="single" w:sz="12" w:space="0" w:color="auto"/>
              <w:bottom w:val="single" w:sz="12" w:space="0" w:color="auto"/>
            </w:tcBorders>
            <w:shd w:val="clear" w:color="auto" w:fill="D9E2F3" w:themeFill="accent1" w:themeFillTint="33"/>
          </w:tcPr>
          <w:p w14:paraId="5B6FF448" w14:textId="6125E68B"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Crisis</w:t>
            </w:r>
          </w:p>
          <w:p w14:paraId="18767034" w14:textId="450C39E4" w:rsidR="00CC297A" w:rsidRPr="001D4A8D" w:rsidRDefault="00CC297A" w:rsidP="00CC297A">
            <w:pPr>
              <w:rPr>
                <w:rFonts w:ascii="Arial" w:eastAsia="PMingLiU" w:hAnsi="Arial" w:cs="Arial"/>
                <w:lang w:eastAsia="zh-TW"/>
              </w:rPr>
            </w:pPr>
          </w:p>
        </w:tc>
        <w:tc>
          <w:tcPr>
            <w:tcW w:w="6695" w:type="dxa"/>
            <w:vMerge w:val="restart"/>
            <w:tcBorders>
              <w:top w:val="single" w:sz="12" w:space="0" w:color="auto"/>
              <w:bottom w:val="single" w:sz="12" w:space="0" w:color="auto"/>
              <w:right w:val="single" w:sz="12" w:space="0" w:color="auto"/>
            </w:tcBorders>
            <w:shd w:val="clear" w:color="auto" w:fill="D9E2F3" w:themeFill="accent1" w:themeFillTint="33"/>
          </w:tcPr>
          <w:p w14:paraId="12BB34BD" w14:textId="70FB4479" w:rsidR="00CC297A" w:rsidRPr="001D4A8D" w:rsidRDefault="00CC297A" w:rsidP="00CC297A">
            <w:pPr>
              <w:rPr>
                <w:rFonts w:ascii="Arial" w:eastAsia="PMingLiU" w:hAnsi="Arial" w:cs="Arial"/>
                <w:lang w:eastAsia="zh-TW"/>
              </w:rPr>
            </w:pPr>
            <w:r w:rsidRPr="001D4A8D">
              <w:rPr>
                <w:rFonts w:ascii="Arial" w:hAnsi="Arial" w:cs="Arial"/>
              </w:rPr>
              <w:t>Bans charging an individual for mental health crisis services and bans crisis care co-pays under MNCare, updates 988 language, increases funding for crisis teams (facing an $8M cliff) and allows funds to be used for protected transport</w:t>
            </w:r>
          </w:p>
        </w:tc>
        <w:tc>
          <w:tcPr>
            <w:tcW w:w="1228" w:type="dxa"/>
            <w:tcBorders>
              <w:top w:val="single" w:sz="12" w:space="0" w:color="auto"/>
              <w:left w:val="single" w:sz="12" w:space="0" w:color="auto"/>
              <w:bottom w:val="single" w:sz="8" w:space="0" w:color="auto"/>
            </w:tcBorders>
            <w:shd w:val="clear" w:color="auto" w:fill="FFFFFF" w:themeFill="background1"/>
          </w:tcPr>
          <w:p w14:paraId="727EB962" w14:textId="77777777" w:rsidR="00CC297A" w:rsidRPr="001D4A8D" w:rsidRDefault="00CC297A" w:rsidP="00CC297A">
            <w:pPr>
              <w:rPr>
                <w:rFonts w:ascii="Arial" w:hAnsi="Arial" w:cs="Arial"/>
                <w:sz w:val="20"/>
                <w:szCs w:val="20"/>
              </w:rPr>
            </w:pPr>
            <w:r w:rsidRPr="001D4A8D">
              <w:rPr>
                <w:rFonts w:ascii="Arial" w:hAnsi="Arial" w:cs="Arial"/>
                <w:sz w:val="20"/>
                <w:szCs w:val="20"/>
              </w:rPr>
              <w:t>SF 1599</w:t>
            </w:r>
          </w:p>
          <w:p w14:paraId="32E2F2D4" w14:textId="2D894F49" w:rsidR="00CC297A" w:rsidRPr="001D4A8D" w:rsidRDefault="00CC297A" w:rsidP="00CC297A">
            <w:pPr>
              <w:rPr>
                <w:rFonts w:ascii="Arial" w:hAnsi="Arial" w:cs="Arial"/>
                <w:sz w:val="20"/>
                <w:szCs w:val="20"/>
              </w:rPr>
            </w:pPr>
          </w:p>
        </w:tc>
        <w:tc>
          <w:tcPr>
            <w:tcW w:w="2250" w:type="dxa"/>
            <w:tcBorders>
              <w:top w:val="single" w:sz="12" w:space="0" w:color="auto"/>
              <w:bottom w:val="single" w:sz="8" w:space="0" w:color="auto"/>
            </w:tcBorders>
            <w:shd w:val="clear" w:color="auto" w:fill="FFFFFF" w:themeFill="background1"/>
          </w:tcPr>
          <w:p w14:paraId="478A8362" w14:textId="5465A222" w:rsidR="00CC297A" w:rsidRPr="001D4A8D" w:rsidRDefault="00CC297A" w:rsidP="00CC297A">
            <w:pPr>
              <w:rPr>
                <w:rFonts w:ascii="Arial" w:hAnsi="Arial" w:cs="Arial"/>
                <w:sz w:val="20"/>
                <w:szCs w:val="20"/>
              </w:rPr>
            </w:pPr>
            <w:r w:rsidRPr="001D4A8D">
              <w:rPr>
                <w:rFonts w:ascii="Arial" w:hAnsi="Arial" w:cs="Arial"/>
                <w:sz w:val="20"/>
                <w:szCs w:val="20"/>
              </w:rPr>
              <w:t>Wicklund, Boldon, Fateh</w:t>
            </w:r>
          </w:p>
        </w:tc>
        <w:tc>
          <w:tcPr>
            <w:tcW w:w="1705" w:type="dxa"/>
            <w:tcBorders>
              <w:top w:val="single" w:sz="12" w:space="0" w:color="auto"/>
              <w:bottom w:val="single" w:sz="8" w:space="0" w:color="auto"/>
              <w:right w:val="single" w:sz="12" w:space="0" w:color="auto"/>
            </w:tcBorders>
            <w:shd w:val="clear" w:color="auto" w:fill="FFFFFF" w:themeFill="background1"/>
          </w:tcPr>
          <w:p w14:paraId="27DF34AC" w14:textId="37D2F061" w:rsidR="00CC297A" w:rsidRPr="001D4A8D" w:rsidRDefault="00BD1F01" w:rsidP="00CC297A">
            <w:pPr>
              <w:rPr>
                <w:rFonts w:ascii="Arial" w:hAnsi="Arial" w:cs="Arial"/>
                <w:sz w:val="20"/>
                <w:szCs w:val="20"/>
              </w:rPr>
            </w:pPr>
            <w:r w:rsidRPr="001D4A8D">
              <w:rPr>
                <w:rFonts w:ascii="Arial" w:hAnsi="Arial" w:cs="Arial"/>
                <w:sz w:val="20"/>
                <w:szCs w:val="20"/>
              </w:rPr>
              <w:t>Hearing</w:t>
            </w:r>
            <w:r w:rsidR="00480610" w:rsidRPr="001D4A8D">
              <w:rPr>
                <w:rFonts w:ascii="Arial" w:hAnsi="Arial" w:cs="Arial"/>
                <w:sz w:val="20"/>
                <w:szCs w:val="20"/>
              </w:rPr>
              <w:t xml:space="preserve"> on</w:t>
            </w:r>
            <w:r w:rsidRPr="001D4A8D">
              <w:rPr>
                <w:rFonts w:ascii="Arial" w:hAnsi="Arial" w:cs="Arial"/>
                <w:sz w:val="20"/>
                <w:szCs w:val="20"/>
              </w:rPr>
              <w:t xml:space="preserve"> 3/4 in </w:t>
            </w:r>
            <w:r w:rsidR="00CC297A" w:rsidRPr="001D4A8D">
              <w:rPr>
                <w:rFonts w:ascii="Arial" w:hAnsi="Arial" w:cs="Arial"/>
                <w:sz w:val="20"/>
                <w:szCs w:val="20"/>
              </w:rPr>
              <w:t>Health</w:t>
            </w:r>
          </w:p>
        </w:tc>
      </w:tr>
      <w:tr w:rsidR="00CC297A" w:rsidRPr="001D4A8D" w14:paraId="05413735" w14:textId="77777777" w:rsidTr="00A6213D">
        <w:trPr>
          <w:trHeight w:val="144"/>
        </w:trPr>
        <w:tc>
          <w:tcPr>
            <w:tcW w:w="1752" w:type="dxa"/>
            <w:vMerge/>
            <w:tcBorders>
              <w:top w:val="single" w:sz="12" w:space="0" w:color="auto"/>
              <w:left w:val="single" w:sz="12" w:space="0" w:color="auto"/>
              <w:bottom w:val="single" w:sz="12" w:space="0" w:color="auto"/>
            </w:tcBorders>
            <w:shd w:val="clear" w:color="auto" w:fill="D9E2F3" w:themeFill="accent1" w:themeFillTint="33"/>
          </w:tcPr>
          <w:p w14:paraId="60205347" w14:textId="77777777" w:rsidR="00CC297A" w:rsidRPr="001D4A8D" w:rsidRDefault="00CC297A" w:rsidP="00CC297A">
            <w:pPr>
              <w:rPr>
                <w:rFonts w:ascii="Arial" w:eastAsia="PMingLiU" w:hAnsi="Arial" w:cs="Arial"/>
                <w:lang w:eastAsia="zh-TW"/>
              </w:rPr>
            </w:pPr>
          </w:p>
        </w:tc>
        <w:tc>
          <w:tcPr>
            <w:tcW w:w="6695" w:type="dxa"/>
            <w:vMerge/>
            <w:tcBorders>
              <w:top w:val="single" w:sz="12" w:space="0" w:color="auto"/>
              <w:bottom w:val="single" w:sz="12" w:space="0" w:color="auto"/>
              <w:right w:val="single" w:sz="12" w:space="0" w:color="auto"/>
            </w:tcBorders>
            <w:shd w:val="clear" w:color="auto" w:fill="D9E2F3" w:themeFill="accent1" w:themeFillTint="33"/>
          </w:tcPr>
          <w:p w14:paraId="5327B75D" w14:textId="77777777" w:rsidR="00CC297A" w:rsidRPr="001D4A8D" w:rsidRDefault="00CC297A" w:rsidP="00CC297A">
            <w:pPr>
              <w:rPr>
                <w:rFonts w:ascii="Arial" w:eastAsia="PMingLiU" w:hAnsi="Arial" w:cs="Arial"/>
                <w:lang w:eastAsia="zh-TW"/>
              </w:rPr>
            </w:pPr>
          </w:p>
        </w:tc>
        <w:tc>
          <w:tcPr>
            <w:tcW w:w="1228" w:type="dxa"/>
            <w:tcBorders>
              <w:top w:val="single" w:sz="8" w:space="0" w:color="auto"/>
              <w:left w:val="single" w:sz="12" w:space="0" w:color="auto"/>
              <w:bottom w:val="single" w:sz="12" w:space="0" w:color="auto"/>
            </w:tcBorders>
            <w:shd w:val="clear" w:color="auto" w:fill="E7E6E6" w:themeFill="background2"/>
          </w:tcPr>
          <w:p w14:paraId="35B24C31" w14:textId="15936E4E" w:rsidR="00CC297A" w:rsidRPr="001D4A8D" w:rsidRDefault="00CC297A" w:rsidP="00CC297A">
            <w:pPr>
              <w:rPr>
                <w:rFonts w:ascii="Arial" w:hAnsi="Arial" w:cs="Arial"/>
                <w:sz w:val="20"/>
                <w:szCs w:val="20"/>
              </w:rPr>
            </w:pPr>
            <w:r w:rsidRPr="001D4A8D">
              <w:rPr>
                <w:rFonts w:ascii="Arial" w:hAnsi="Arial" w:cs="Arial"/>
                <w:sz w:val="20"/>
                <w:szCs w:val="20"/>
              </w:rPr>
              <w:t>HF 973</w:t>
            </w:r>
          </w:p>
        </w:tc>
        <w:tc>
          <w:tcPr>
            <w:tcW w:w="2250" w:type="dxa"/>
            <w:tcBorders>
              <w:top w:val="single" w:sz="8" w:space="0" w:color="auto"/>
              <w:bottom w:val="single" w:sz="12" w:space="0" w:color="auto"/>
            </w:tcBorders>
            <w:shd w:val="clear" w:color="auto" w:fill="E7E6E6" w:themeFill="background2"/>
          </w:tcPr>
          <w:p w14:paraId="1421D2BD" w14:textId="18961E04" w:rsidR="00CC297A" w:rsidRPr="001D4A8D" w:rsidRDefault="00CC297A" w:rsidP="00CC297A">
            <w:pPr>
              <w:rPr>
                <w:rFonts w:ascii="Arial" w:hAnsi="Arial" w:cs="Arial"/>
                <w:sz w:val="20"/>
                <w:szCs w:val="20"/>
              </w:rPr>
            </w:pPr>
            <w:r w:rsidRPr="001D4A8D">
              <w:rPr>
                <w:rFonts w:ascii="Arial" w:hAnsi="Arial" w:cs="Arial"/>
                <w:sz w:val="20"/>
                <w:szCs w:val="20"/>
              </w:rPr>
              <w:t>Backer</w:t>
            </w:r>
            <w:r w:rsidR="004E03FE">
              <w:rPr>
                <w:rFonts w:ascii="Arial" w:hAnsi="Arial" w:cs="Arial"/>
                <w:sz w:val="20"/>
                <w:szCs w:val="20"/>
              </w:rPr>
              <w:t>, Virnig</w:t>
            </w:r>
          </w:p>
        </w:tc>
        <w:tc>
          <w:tcPr>
            <w:tcW w:w="1705" w:type="dxa"/>
            <w:tcBorders>
              <w:top w:val="single" w:sz="8" w:space="0" w:color="auto"/>
              <w:bottom w:val="single" w:sz="12" w:space="0" w:color="auto"/>
              <w:right w:val="single" w:sz="12" w:space="0" w:color="auto"/>
            </w:tcBorders>
            <w:shd w:val="clear" w:color="auto" w:fill="E7E6E6" w:themeFill="background2"/>
          </w:tcPr>
          <w:p w14:paraId="709E5574" w14:textId="47A770CA" w:rsidR="00CC297A" w:rsidRPr="001D4A8D" w:rsidRDefault="005C2EF8" w:rsidP="00CC297A">
            <w:pPr>
              <w:rPr>
                <w:rFonts w:ascii="Arial" w:hAnsi="Arial" w:cs="Arial"/>
                <w:sz w:val="20"/>
                <w:szCs w:val="20"/>
              </w:rPr>
            </w:pPr>
            <w:r>
              <w:rPr>
                <w:rFonts w:ascii="Arial" w:hAnsi="Arial" w:cs="Arial"/>
                <w:sz w:val="20"/>
                <w:szCs w:val="20"/>
              </w:rPr>
              <w:t>Hearing in Human Services 3/12</w:t>
            </w:r>
          </w:p>
        </w:tc>
      </w:tr>
      <w:tr w:rsidR="00175C1E" w:rsidRPr="001D4A8D" w14:paraId="3A0B80E1"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424DCB68" w14:textId="77777777" w:rsidR="00175C1E" w:rsidRPr="001D4A8D" w:rsidRDefault="00175C1E" w:rsidP="00207894">
            <w:pPr>
              <w:rPr>
                <w:rFonts w:ascii="Arial" w:eastAsia="PMingLiU" w:hAnsi="Arial" w:cs="Arial"/>
                <w:lang w:eastAsia="zh-TW"/>
              </w:rPr>
            </w:pPr>
            <w:r w:rsidRPr="001D4A8D">
              <w:rPr>
                <w:rFonts w:ascii="Arial" w:eastAsia="PMingLiU" w:hAnsi="Arial" w:cs="Arial"/>
                <w:lang w:eastAsia="zh-TW"/>
              </w:rPr>
              <w:t>Decriminalizing Homelessness</w:t>
            </w:r>
          </w:p>
        </w:tc>
        <w:tc>
          <w:tcPr>
            <w:tcW w:w="6695" w:type="dxa"/>
            <w:vMerge w:val="restart"/>
            <w:tcBorders>
              <w:top w:val="single" w:sz="12" w:space="0" w:color="auto"/>
              <w:right w:val="single" w:sz="12" w:space="0" w:color="auto"/>
            </w:tcBorders>
            <w:shd w:val="clear" w:color="auto" w:fill="D9E2F3" w:themeFill="accent1" w:themeFillTint="33"/>
          </w:tcPr>
          <w:p w14:paraId="3D813CB5" w14:textId="77777777" w:rsidR="00175C1E" w:rsidRPr="001D4A8D" w:rsidRDefault="00175C1E" w:rsidP="00207894">
            <w:pPr>
              <w:rPr>
                <w:rFonts w:ascii="Arial" w:hAnsi="Arial" w:cs="Arial"/>
              </w:rPr>
            </w:pPr>
            <w:r w:rsidRPr="001D4A8D">
              <w:rPr>
                <w:rFonts w:ascii="Arial" w:hAnsi="Arial" w:cs="Arial"/>
              </w:rPr>
              <w:t>Prohibits local governments from criminalizing sleeping in public places and vehicles</w:t>
            </w:r>
            <w:r w:rsidRPr="001D4A8D">
              <w:rPr>
                <w:rFonts w:ascii="Arial" w:hAnsi="Arial" w:cs="Arial"/>
              </w:rPr>
              <w:tab/>
            </w:r>
          </w:p>
        </w:tc>
        <w:tc>
          <w:tcPr>
            <w:tcW w:w="1228" w:type="dxa"/>
            <w:tcBorders>
              <w:top w:val="single" w:sz="12" w:space="0" w:color="auto"/>
              <w:left w:val="single" w:sz="12" w:space="0" w:color="auto"/>
            </w:tcBorders>
          </w:tcPr>
          <w:p w14:paraId="2202C31F" w14:textId="77777777" w:rsidR="00175C1E" w:rsidRPr="001D4A8D" w:rsidRDefault="00175C1E" w:rsidP="00207894">
            <w:pPr>
              <w:rPr>
                <w:rFonts w:ascii="Arial" w:hAnsi="Arial" w:cs="Arial"/>
                <w:sz w:val="20"/>
                <w:szCs w:val="20"/>
              </w:rPr>
            </w:pPr>
          </w:p>
        </w:tc>
        <w:tc>
          <w:tcPr>
            <w:tcW w:w="2250" w:type="dxa"/>
            <w:tcBorders>
              <w:top w:val="single" w:sz="12" w:space="0" w:color="auto"/>
            </w:tcBorders>
          </w:tcPr>
          <w:p w14:paraId="5F044E28" w14:textId="77777777" w:rsidR="00175C1E" w:rsidRPr="001D4A8D" w:rsidRDefault="00175C1E" w:rsidP="00207894">
            <w:pPr>
              <w:rPr>
                <w:rFonts w:ascii="Arial" w:hAnsi="Arial" w:cs="Arial"/>
                <w:sz w:val="20"/>
                <w:szCs w:val="20"/>
              </w:rPr>
            </w:pPr>
            <w:r w:rsidRPr="001D4A8D">
              <w:rPr>
                <w:rFonts w:ascii="Arial" w:hAnsi="Arial" w:cs="Arial"/>
                <w:sz w:val="20"/>
                <w:szCs w:val="20"/>
              </w:rPr>
              <w:t>Port</w:t>
            </w:r>
          </w:p>
        </w:tc>
        <w:tc>
          <w:tcPr>
            <w:tcW w:w="1705" w:type="dxa"/>
            <w:tcBorders>
              <w:top w:val="single" w:sz="12" w:space="0" w:color="auto"/>
              <w:right w:val="single" w:sz="12" w:space="0" w:color="auto"/>
            </w:tcBorders>
          </w:tcPr>
          <w:p w14:paraId="433742D3" w14:textId="77777777" w:rsidR="00175C1E" w:rsidRPr="001D4A8D" w:rsidRDefault="00175C1E" w:rsidP="00207894">
            <w:pPr>
              <w:rPr>
                <w:rFonts w:ascii="Arial" w:hAnsi="Arial" w:cs="Arial"/>
                <w:sz w:val="20"/>
                <w:szCs w:val="20"/>
              </w:rPr>
            </w:pPr>
          </w:p>
        </w:tc>
      </w:tr>
      <w:tr w:rsidR="00175C1E" w:rsidRPr="001D4A8D" w14:paraId="76ED55BE"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6B9347CE" w14:textId="77777777" w:rsidR="00175C1E" w:rsidRPr="001D4A8D" w:rsidRDefault="00175C1E"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0C36991C" w14:textId="77777777" w:rsidR="00175C1E" w:rsidRPr="001D4A8D" w:rsidRDefault="00175C1E"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259C709C" w14:textId="77777777" w:rsidR="00175C1E" w:rsidRPr="001D4A8D" w:rsidRDefault="00175C1E" w:rsidP="00CC297A">
            <w:pPr>
              <w:rPr>
                <w:rFonts w:ascii="Arial" w:hAnsi="Arial" w:cs="Arial"/>
                <w:sz w:val="20"/>
                <w:szCs w:val="20"/>
              </w:rPr>
            </w:pPr>
          </w:p>
        </w:tc>
        <w:tc>
          <w:tcPr>
            <w:tcW w:w="2250" w:type="dxa"/>
            <w:tcBorders>
              <w:bottom w:val="single" w:sz="12" w:space="0" w:color="auto"/>
            </w:tcBorders>
            <w:shd w:val="clear" w:color="auto" w:fill="E7E6E6" w:themeFill="background2"/>
          </w:tcPr>
          <w:p w14:paraId="7D98D54E" w14:textId="03A55B18" w:rsidR="00175C1E" w:rsidRPr="001D4A8D" w:rsidRDefault="00F307CC" w:rsidP="00CC297A">
            <w:pPr>
              <w:rPr>
                <w:rFonts w:ascii="Arial" w:hAnsi="Arial" w:cs="Arial"/>
                <w:sz w:val="20"/>
                <w:szCs w:val="20"/>
              </w:rPr>
            </w:pPr>
            <w:r>
              <w:rPr>
                <w:rFonts w:ascii="Arial" w:hAnsi="Arial" w:cs="Arial"/>
                <w:sz w:val="20"/>
                <w:szCs w:val="20"/>
              </w:rPr>
              <w:t>Finke</w:t>
            </w:r>
          </w:p>
        </w:tc>
        <w:tc>
          <w:tcPr>
            <w:tcW w:w="1705" w:type="dxa"/>
            <w:tcBorders>
              <w:bottom w:val="single" w:sz="12" w:space="0" w:color="auto"/>
              <w:right w:val="single" w:sz="12" w:space="0" w:color="auto"/>
            </w:tcBorders>
            <w:shd w:val="clear" w:color="auto" w:fill="E7E6E6" w:themeFill="background2"/>
          </w:tcPr>
          <w:p w14:paraId="6B3BF9DC" w14:textId="77777777" w:rsidR="00175C1E" w:rsidRPr="001D4A8D" w:rsidRDefault="00175C1E" w:rsidP="00CC297A">
            <w:pPr>
              <w:rPr>
                <w:rFonts w:ascii="Arial" w:hAnsi="Arial" w:cs="Arial"/>
                <w:sz w:val="20"/>
                <w:szCs w:val="20"/>
              </w:rPr>
            </w:pPr>
          </w:p>
        </w:tc>
      </w:tr>
      <w:tr w:rsidR="00CC297A" w:rsidRPr="001D4A8D" w14:paraId="27536EA5"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42FDE092" w14:textId="1B9E938A"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Education</w:t>
            </w:r>
            <w:r w:rsidRPr="001D4A8D">
              <w:rPr>
                <w:rFonts w:ascii="Arial" w:eastAsia="PMingLiU" w:hAnsi="Arial" w:cs="Arial"/>
                <w:lang w:eastAsia="zh-TW"/>
              </w:rPr>
              <w:tab/>
            </w:r>
          </w:p>
        </w:tc>
        <w:tc>
          <w:tcPr>
            <w:tcW w:w="6695" w:type="dxa"/>
            <w:vMerge w:val="restart"/>
            <w:tcBorders>
              <w:top w:val="single" w:sz="12" w:space="0" w:color="auto"/>
              <w:right w:val="single" w:sz="12" w:space="0" w:color="auto"/>
            </w:tcBorders>
            <w:shd w:val="clear" w:color="auto" w:fill="D9E2F3" w:themeFill="accent1" w:themeFillTint="33"/>
          </w:tcPr>
          <w:p w14:paraId="209D2752" w14:textId="2D8ED858" w:rsidR="00CC297A" w:rsidRPr="001D4A8D" w:rsidRDefault="00CC297A" w:rsidP="00CC297A">
            <w:pPr>
              <w:rPr>
                <w:rFonts w:ascii="Arial" w:eastAsia="PMingLiU" w:hAnsi="Arial" w:cs="Arial"/>
                <w:lang w:eastAsia="zh-TW"/>
              </w:rPr>
            </w:pPr>
            <w:r w:rsidRPr="001D4A8D">
              <w:rPr>
                <w:rFonts w:ascii="Arial" w:eastAsia="PMingLiU" w:hAnsi="Arial" w:cs="Arial"/>
                <w:lang w:eastAsia="zh-TW"/>
              </w:rPr>
              <w:t>Requires the Department of Education to approve mental health curriculum, requires coaches to have training on mental illnesses, requires Dept. of Education to continue advisory council on seclusion and restraints</w:t>
            </w:r>
          </w:p>
        </w:tc>
        <w:tc>
          <w:tcPr>
            <w:tcW w:w="1228" w:type="dxa"/>
            <w:tcBorders>
              <w:top w:val="single" w:sz="12" w:space="0" w:color="auto"/>
              <w:left w:val="single" w:sz="12" w:space="0" w:color="auto"/>
            </w:tcBorders>
            <w:shd w:val="clear" w:color="auto" w:fill="FFFFFF" w:themeFill="background1"/>
          </w:tcPr>
          <w:p w14:paraId="47FA25F1" w14:textId="5C0E7F2F" w:rsidR="00CC297A" w:rsidRPr="001D4A8D" w:rsidRDefault="00CC297A" w:rsidP="00CC297A">
            <w:pPr>
              <w:rPr>
                <w:rFonts w:ascii="Arial" w:hAnsi="Arial" w:cs="Arial"/>
                <w:sz w:val="20"/>
                <w:szCs w:val="20"/>
              </w:rPr>
            </w:pPr>
            <w:r w:rsidRPr="001D4A8D">
              <w:rPr>
                <w:rFonts w:ascii="Arial" w:hAnsi="Arial" w:cs="Arial"/>
                <w:sz w:val="20"/>
                <w:szCs w:val="20"/>
              </w:rPr>
              <w:t>SF 1952</w:t>
            </w:r>
          </w:p>
        </w:tc>
        <w:tc>
          <w:tcPr>
            <w:tcW w:w="2250" w:type="dxa"/>
            <w:tcBorders>
              <w:top w:val="single" w:sz="12" w:space="0" w:color="auto"/>
            </w:tcBorders>
            <w:shd w:val="clear" w:color="auto" w:fill="FFFFFF" w:themeFill="background1"/>
          </w:tcPr>
          <w:p w14:paraId="628E6E62" w14:textId="33321866" w:rsidR="00CC297A" w:rsidRPr="001D4A8D" w:rsidRDefault="00CC297A" w:rsidP="00CC297A">
            <w:pPr>
              <w:rPr>
                <w:rFonts w:ascii="Arial" w:hAnsi="Arial" w:cs="Arial"/>
                <w:sz w:val="20"/>
                <w:szCs w:val="20"/>
              </w:rPr>
            </w:pPr>
            <w:r w:rsidRPr="001D4A8D">
              <w:rPr>
                <w:rFonts w:ascii="Arial" w:hAnsi="Arial" w:cs="Arial"/>
                <w:sz w:val="20"/>
                <w:szCs w:val="20"/>
              </w:rPr>
              <w:t>Mann</w:t>
            </w:r>
          </w:p>
        </w:tc>
        <w:tc>
          <w:tcPr>
            <w:tcW w:w="1705" w:type="dxa"/>
            <w:tcBorders>
              <w:top w:val="single" w:sz="12" w:space="0" w:color="auto"/>
              <w:right w:val="single" w:sz="12" w:space="0" w:color="auto"/>
            </w:tcBorders>
            <w:shd w:val="clear" w:color="auto" w:fill="FFFFFF" w:themeFill="background1"/>
          </w:tcPr>
          <w:p w14:paraId="0D2D8BA8" w14:textId="33331CB0" w:rsidR="00CC297A" w:rsidRPr="001D4A8D" w:rsidRDefault="00BD1F01" w:rsidP="00CC297A">
            <w:pPr>
              <w:rPr>
                <w:rFonts w:ascii="Arial" w:hAnsi="Arial" w:cs="Arial"/>
                <w:sz w:val="20"/>
                <w:szCs w:val="20"/>
              </w:rPr>
            </w:pPr>
            <w:r w:rsidRPr="001D4A8D">
              <w:rPr>
                <w:rFonts w:ascii="Arial" w:hAnsi="Arial" w:cs="Arial"/>
                <w:sz w:val="20"/>
                <w:szCs w:val="20"/>
              </w:rPr>
              <w:t xml:space="preserve">Referred to </w:t>
            </w:r>
            <w:r w:rsidR="00CC297A" w:rsidRPr="001D4A8D">
              <w:rPr>
                <w:rFonts w:ascii="Arial" w:hAnsi="Arial" w:cs="Arial"/>
                <w:sz w:val="20"/>
                <w:szCs w:val="20"/>
              </w:rPr>
              <w:t>Ed Policy</w:t>
            </w:r>
          </w:p>
        </w:tc>
      </w:tr>
      <w:tr w:rsidR="00CC297A" w:rsidRPr="001D4A8D" w14:paraId="0C7E142D"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5B4D5A17" w14:textId="77777777" w:rsidR="00CC297A" w:rsidRPr="001D4A8D" w:rsidRDefault="00CC297A"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418600F8" w14:textId="77777777" w:rsidR="00CC297A" w:rsidRPr="001D4A8D" w:rsidRDefault="00CC297A"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4CDFF10D" w14:textId="360D858C" w:rsidR="00CC297A" w:rsidRPr="001D4A8D" w:rsidRDefault="00CC297A" w:rsidP="00CC297A">
            <w:pPr>
              <w:rPr>
                <w:rFonts w:ascii="Arial" w:hAnsi="Arial" w:cs="Arial"/>
                <w:sz w:val="20"/>
                <w:szCs w:val="20"/>
              </w:rPr>
            </w:pPr>
            <w:r w:rsidRPr="001D4A8D">
              <w:rPr>
                <w:rFonts w:ascii="Arial" w:hAnsi="Arial" w:cs="Arial"/>
                <w:sz w:val="20"/>
                <w:szCs w:val="20"/>
              </w:rPr>
              <w:t>HF 61</w:t>
            </w:r>
          </w:p>
        </w:tc>
        <w:tc>
          <w:tcPr>
            <w:tcW w:w="2250" w:type="dxa"/>
            <w:tcBorders>
              <w:bottom w:val="single" w:sz="12" w:space="0" w:color="auto"/>
            </w:tcBorders>
            <w:shd w:val="clear" w:color="auto" w:fill="E7E6E6" w:themeFill="background2"/>
          </w:tcPr>
          <w:p w14:paraId="462F5A16" w14:textId="565D6F44" w:rsidR="00CC297A" w:rsidRPr="001D4A8D" w:rsidRDefault="00CC297A" w:rsidP="00CC297A">
            <w:pPr>
              <w:rPr>
                <w:rFonts w:ascii="Arial" w:hAnsi="Arial" w:cs="Arial"/>
                <w:sz w:val="20"/>
                <w:szCs w:val="20"/>
              </w:rPr>
            </w:pPr>
            <w:r w:rsidRPr="001D4A8D">
              <w:rPr>
                <w:rFonts w:ascii="Arial" w:hAnsi="Arial" w:cs="Arial"/>
                <w:sz w:val="20"/>
                <w:szCs w:val="20"/>
              </w:rPr>
              <w:t>Clardy</w:t>
            </w:r>
            <w:r w:rsidR="00BD1F01" w:rsidRPr="001D4A8D">
              <w:rPr>
                <w:rFonts w:ascii="Arial" w:hAnsi="Arial" w:cs="Arial"/>
                <w:sz w:val="20"/>
                <w:szCs w:val="20"/>
              </w:rPr>
              <w:t>, Huot, Curran, Johnson, P.</w:t>
            </w:r>
          </w:p>
        </w:tc>
        <w:tc>
          <w:tcPr>
            <w:tcW w:w="1705" w:type="dxa"/>
            <w:tcBorders>
              <w:bottom w:val="single" w:sz="12" w:space="0" w:color="auto"/>
              <w:right w:val="single" w:sz="12" w:space="0" w:color="auto"/>
            </w:tcBorders>
            <w:shd w:val="clear" w:color="auto" w:fill="E7E6E6" w:themeFill="background2"/>
          </w:tcPr>
          <w:p w14:paraId="219FDA15" w14:textId="5960EC69" w:rsidR="00CC297A" w:rsidRPr="001D4A8D" w:rsidRDefault="00BD1F01" w:rsidP="00CC297A">
            <w:pPr>
              <w:rPr>
                <w:rFonts w:ascii="Arial" w:hAnsi="Arial" w:cs="Arial"/>
                <w:sz w:val="20"/>
                <w:szCs w:val="20"/>
              </w:rPr>
            </w:pPr>
            <w:r w:rsidRPr="001D4A8D">
              <w:rPr>
                <w:rFonts w:ascii="Arial" w:hAnsi="Arial" w:cs="Arial"/>
                <w:sz w:val="20"/>
                <w:szCs w:val="20"/>
              </w:rPr>
              <w:t xml:space="preserve">Referred to </w:t>
            </w:r>
            <w:r w:rsidR="00CC297A" w:rsidRPr="001D4A8D">
              <w:rPr>
                <w:rFonts w:ascii="Arial" w:hAnsi="Arial" w:cs="Arial"/>
                <w:sz w:val="20"/>
                <w:szCs w:val="20"/>
              </w:rPr>
              <w:t>Ed Policy</w:t>
            </w:r>
          </w:p>
        </w:tc>
      </w:tr>
      <w:tr w:rsidR="00175C1E" w:rsidRPr="001D4A8D" w14:paraId="74155247"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2DC525B5" w14:textId="77777777" w:rsidR="00175C1E" w:rsidRPr="001D4A8D" w:rsidRDefault="00175C1E" w:rsidP="00207894">
            <w:pPr>
              <w:rPr>
                <w:rFonts w:ascii="Arial" w:hAnsi="Arial" w:cs="Arial"/>
              </w:rPr>
            </w:pPr>
            <w:r w:rsidRPr="001D4A8D">
              <w:rPr>
                <w:rFonts w:ascii="Arial" w:hAnsi="Arial" w:cs="Arial"/>
              </w:rPr>
              <w:t>Employment</w:t>
            </w:r>
          </w:p>
        </w:tc>
        <w:tc>
          <w:tcPr>
            <w:tcW w:w="6695" w:type="dxa"/>
            <w:vMerge w:val="restart"/>
            <w:tcBorders>
              <w:top w:val="single" w:sz="12" w:space="0" w:color="auto"/>
              <w:right w:val="single" w:sz="12" w:space="0" w:color="auto"/>
            </w:tcBorders>
            <w:shd w:val="clear" w:color="auto" w:fill="D9E2F3" w:themeFill="accent1" w:themeFillTint="33"/>
          </w:tcPr>
          <w:p w14:paraId="7F4467D1" w14:textId="77777777" w:rsidR="00175C1E" w:rsidRPr="001D4A8D" w:rsidRDefault="00175C1E" w:rsidP="00207894">
            <w:pPr>
              <w:rPr>
                <w:rFonts w:ascii="Arial" w:hAnsi="Arial" w:cs="Arial"/>
              </w:rPr>
            </w:pPr>
            <w:r w:rsidRPr="001D4A8D">
              <w:rPr>
                <w:rFonts w:ascii="Arial" w:hAnsi="Arial" w:cs="Arial"/>
              </w:rPr>
              <w:t>Increases base funding for Individual Placement and Support (supportive employment for people with mental illnesses)</w:t>
            </w:r>
          </w:p>
        </w:tc>
        <w:tc>
          <w:tcPr>
            <w:tcW w:w="1228" w:type="dxa"/>
            <w:tcBorders>
              <w:top w:val="single" w:sz="12" w:space="0" w:color="auto"/>
              <w:left w:val="single" w:sz="12" w:space="0" w:color="auto"/>
            </w:tcBorders>
          </w:tcPr>
          <w:p w14:paraId="7E4FBFAC" w14:textId="77777777" w:rsidR="00175C1E" w:rsidRPr="001D4A8D" w:rsidRDefault="00175C1E" w:rsidP="00207894">
            <w:pPr>
              <w:rPr>
                <w:rFonts w:ascii="Arial" w:hAnsi="Arial" w:cs="Arial"/>
                <w:sz w:val="20"/>
                <w:szCs w:val="20"/>
              </w:rPr>
            </w:pPr>
            <w:r w:rsidRPr="001D4A8D">
              <w:rPr>
                <w:rFonts w:ascii="Arial" w:hAnsi="Arial" w:cs="Arial"/>
                <w:sz w:val="20"/>
                <w:szCs w:val="20"/>
              </w:rPr>
              <w:t>SF 670</w:t>
            </w:r>
          </w:p>
        </w:tc>
        <w:tc>
          <w:tcPr>
            <w:tcW w:w="2250" w:type="dxa"/>
            <w:tcBorders>
              <w:top w:val="single" w:sz="12" w:space="0" w:color="auto"/>
            </w:tcBorders>
          </w:tcPr>
          <w:p w14:paraId="470D5903" w14:textId="5407C6F0" w:rsidR="00175C1E" w:rsidRPr="001D4A8D" w:rsidRDefault="00175C1E" w:rsidP="00207894">
            <w:pPr>
              <w:rPr>
                <w:rFonts w:ascii="Arial" w:hAnsi="Arial" w:cs="Arial"/>
                <w:sz w:val="20"/>
                <w:szCs w:val="20"/>
              </w:rPr>
            </w:pPr>
            <w:r w:rsidRPr="001D4A8D">
              <w:rPr>
                <w:rFonts w:ascii="Arial" w:hAnsi="Arial" w:cs="Arial"/>
                <w:sz w:val="20"/>
                <w:szCs w:val="20"/>
              </w:rPr>
              <w:t>Mohamed</w:t>
            </w:r>
            <w:r w:rsidR="006609EF">
              <w:rPr>
                <w:rFonts w:ascii="Arial" w:hAnsi="Arial" w:cs="Arial"/>
                <w:sz w:val="20"/>
                <w:szCs w:val="20"/>
              </w:rPr>
              <w:t xml:space="preserve">, </w:t>
            </w:r>
            <w:r w:rsidR="006609EF" w:rsidRPr="006609EF">
              <w:rPr>
                <w:rFonts w:ascii="Arial" w:hAnsi="Arial" w:cs="Arial"/>
                <w:sz w:val="20"/>
                <w:szCs w:val="20"/>
              </w:rPr>
              <w:t>Pha</w:t>
            </w:r>
            <w:r w:rsidR="006609EF">
              <w:rPr>
                <w:rFonts w:ascii="Arial" w:hAnsi="Arial" w:cs="Arial"/>
                <w:sz w:val="20"/>
                <w:szCs w:val="20"/>
              </w:rPr>
              <w:t xml:space="preserve">, </w:t>
            </w:r>
            <w:r w:rsidR="006609EF" w:rsidRPr="006609EF">
              <w:rPr>
                <w:rFonts w:ascii="Arial" w:hAnsi="Arial" w:cs="Arial"/>
                <w:sz w:val="20"/>
                <w:szCs w:val="20"/>
              </w:rPr>
              <w:t>Draheim</w:t>
            </w:r>
            <w:r w:rsidR="006609EF">
              <w:rPr>
                <w:rFonts w:ascii="Arial" w:hAnsi="Arial" w:cs="Arial"/>
                <w:sz w:val="20"/>
                <w:szCs w:val="20"/>
              </w:rPr>
              <w:t>,</w:t>
            </w:r>
            <w:r w:rsidR="006609EF" w:rsidRPr="006609EF">
              <w:rPr>
                <w:rFonts w:ascii="Arial" w:hAnsi="Arial" w:cs="Arial"/>
                <w:sz w:val="20"/>
                <w:szCs w:val="20"/>
              </w:rPr>
              <w:t xml:space="preserve"> Gustafson</w:t>
            </w:r>
            <w:r w:rsidR="006609EF">
              <w:rPr>
                <w:rFonts w:ascii="Arial" w:hAnsi="Arial" w:cs="Arial"/>
                <w:sz w:val="20"/>
                <w:szCs w:val="20"/>
              </w:rPr>
              <w:t xml:space="preserve">, </w:t>
            </w:r>
            <w:r w:rsidR="006609EF" w:rsidRPr="006609EF">
              <w:rPr>
                <w:rFonts w:ascii="Arial" w:hAnsi="Arial" w:cs="Arial"/>
                <w:sz w:val="20"/>
                <w:szCs w:val="20"/>
              </w:rPr>
              <w:t>Nelson</w:t>
            </w:r>
          </w:p>
        </w:tc>
        <w:tc>
          <w:tcPr>
            <w:tcW w:w="1705" w:type="dxa"/>
            <w:tcBorders>
              <w:top w:val="single" w:sz="12" w:space="0" w:color="auto"/>
              <w:right w:val="single" w:sz="12" w:space="0" w:color="auto"/>
            </w:tcBorders>
          </w:tcPr>
          <w:p w14:paraId="661CA5E6" w14:textId="33EB9D94" w:rsidR="00175C1E" w:rsidRPr="001D4A8D" w:rsidRDefault="00BD1F01" w:rsidP="00207894">
            <w:pPr>
              <w:rPr>
                <w:rFonts w:ascii="Arial" w:hAnsi="Arial" w:cs="Arial"/>
                <w:sz w:val="20"/>
                <w:szCs w:val="20"/>
              </w:rPr>
            </w:pPr>
            <w:r w:rsidRPr="001D4A8D">
              <w:rPr>
                <w:rFonts w:ascii="Arial" w:hAnsi="Arial" w:cs="Arial"/>
                <w:sz w:val="20"/>
                <w:szCs w:val="20"/>
              </w:rPr>
              <w:t xml:space="preserve">Referred to </w:t>
            </w:r>
            <w:r w:rsidR="00175C1E" w:rsidRPr="001D4A8D">
              <w:rPr>
                <w:rFonts w:ascii="Arial" w:hAnsi="Arial" w:cs="Arial"/>
                <w:sz w:val="20"/>
                <w:szCs w:val="20"/>
              </w:rPr>
              <w:t>Jobs</w:t>
            </w:r>
            <w:r w:rsidR="006609EF">
              <w:rPr>
                <w:rFonts w:ascii="Arial" w:hAnsi="Arial" w:cs="Arial"/>
                <w:sz w:val="20"/>
                <w:szCs w:val="20"/>
              </w:rPr>
              <w:t>. Hearing held</w:t>
            </w:r>
          </w:p>
        </w:tc>
      </w:tr>
      <w:tr w:rsidR="00175C1E" w:rsidRPr="001D4A8D" w14:paraId="2E5B25D3"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480E16AC" w14:textId="77777777" w:rsidR="00175C1E" w:rsidRPr="001D4A8D" w:rsidRDefault="00175C1E" w:rsidP="00CC297A">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5F8896AE" w14:textId="77777777" w:rsidR="00175C1E" w:rsidRPr="001D4A8D" w:rsidRDefault="00175C1E"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16097505" w14:textId="510E5FA8" w:rsidR="00175C1E" w:rsidRPr="001D4A8D" w:rsidRDefault="005C2EF8" w:rsidP="00CC297A">
            <w:pPr>
              <w:rPr>
                <w:rFonts w:ascii="Arial" w:hAnsi="Arial" w:cs="Arial"/>
                <w:sz w:val="20"/>
                <w:szCs w:val="20"/>
              </w:rPr>
            </w:pPr>
            <w:r>
              <w:rPr>
                <w:rFonts w:ascii="Arial" w:hAnsi="Arial" w:cs="Arial"/>
                <w:sz w:val="20"/>
                <w:szCs w:val="20"/>
              </w:rPr>
              <w:t>HF 1985</w:t>
            </w:r>
          </w:p>
        </w:tc>
        <w:tc>
          <w:tcPr>
            <w:tcW w:w="2250" w:type="dxa"/>
            <w:tcBorders>
              <w:bottom w:val="single" w:sz="12" w:space="0" w:color="auto"/>
            </w:tcBorders>
            <w:shd w:val="clear" w:color="auto" w:fill="E7E6E6" w:themeFill="background2"/>
          </w:tcPr>
          <w:p w14:paraId="03DAF233" w14:textId="052B6728" w:rsidR="00175C1E" w:rsidRPr="001D4A8D" w:rsidRDefault="005C2EF8" w:rsidP="00CC297A">
            <w:pPr>
              <w:rPr>
                <w:rFonts w:ascii="Arial" w:hAnsi="Arial" w:cs="Arial"/>
                <w:sz w:val="20"/>
                <w:szCs w:val="20"/>
              </w:rPr>
            </w:pPr>
            <w:r w:rsidRPr="005C2EF8">
              <w:rPr>
                <w:rFonts w:ascii="Arial" w:hAnsi="Arial" w:cs="Arial"/>
                <w:sz w:val="20"/>
                <w:szCs w:val="20"/>
              </w:rPr>
              <w:t>Rehrauer, Johnson, P.</w:t>
            </w:r>
          </w:p>
        </w:tc>
        <w:tc>
          <w:tcPr>
            <w:tcW w:w="1705" w:type="dxa"/>
            <w:tcBorders>
              <w:bottom w:val="single" w:sz="12" w:space="0" w:color="auto"/>
              <w:right w:val="single" w:sz="12" w:space="0" w:color="auto"/>
            </w:tcBorders>
            <w:shd w:val="clear" w:color="auto" w:fill="E7E6E6" w:themeFill="background2"/>
          </w:tcPr>
          <w:p w14:paraId="018A368B" w14:textId="649ADD2E" w:rsidR="00175C1E" w:rsidRPr="001D4A8D" w:rsidRDefault="006609EF" w:rsidP="00CC297A">
            <w:pPr>
              <w:rPr>
                <w:rFonts w:ascii="Arial" w:hAnsi="Arial" w:cs="Arial"/>
                <w:sz w:val="20"/>
                <w:szCs w:val="20"/>
              </w:rPr>
            </w:pPr>
            <w:r>
              <w:rPr>
                <w:rFonts w:ascii="Arial" w:hAnsi="Arial" w:cs="Arial"/>
                <w:sz w:val="20"/>
                <w:szCs w:val="20"/>
              </w:rPr>
              <w:t xml:space="preserve">Referred to </w:t>
            </w:r>
            <w:r w:rsidRPr="006609EF">
              <w:rPr>
                <w:rFonts w:ascii="Arial" w:hAnsi="Arial" w:cs="Arial"/>
                <w:sz w:val="20"/>
                <w:szCs w:val="20"/>
              </w:rPr>
              <w:t>Workforce, Labor, and Economic Development Finance and Policy</w:t>
            </w:r>
          </w:p>
        </w:tc>
      </w:tr>
      <w:tr w:rsidR="00175C1E" w:rsidRPr="001D4A8D" w14:paraId="119EB14C" w14:textId="77777777" w:rsidTr="00A6213D">
        <w:trPr>
          <w:trHeight w:val="144"/>
        </w:trPr>
        <w:tc>
          <w:tcPr>
            <w:tcW w:w="1752" w:type="dxa"/>
            <w:vMerge w:val="restart"/>
            <w:tcBorders>
              <w:top w:val="single" w:sz="12" w:space="0" w:color="auto"/>
              <w:left w:val="single" w:sz="12" w:space="0" w:color="auto"/>
            </w:tcBorders>
          </w:tcPr>
          <w:p w14:paraId="655A99A3" w14:textId="77777777" w:rsidR="00175C1E" w:rsidRPr="001D4A8D" w:rsidRDefault="00175C1E" w:rsidP="00207894">
            <w:pPr>
              <w:rPr>
                <w:rFonts w:ascii="Arial" w:eastAsia="PMingLiU" w:hAnsi="Arial" w:cs="Arial"/>
                <w:lang w:eastAsia="zh-TW"/>
              </w:rPr>
            </w:pPr>
            <w:r w:rsidRPr="001D4A8D">
              <w:rPr>
                <w:rFonts w:ascii="Arial" w:eastAsia="PMingLiU" w:hAnsi="Arial" w:cs="Arial"/>
                <w:lang w:eastAsia="zh-TW"/>
              </w:rPr>
              <w:t>FastTracker</w:t>
            </w:r>
          </w:p>
        </w:tc>
        <w:tc>
          <w:tcPr>
            <w:tcW w:w="6695" w:type="dxa"/>
            <w:vMerge w:val="restart"/>
            <w:tcBorders>
              <w:top w:val="single" w:sz="12" w:space="0" w:color="auto"/>
              <w:left w:val="single" w:sz="4" w:space="0" w:color="000000"/>
              <w:right w:val="single" w:sz="12" w:space="0" w:color="auto"/>
            </w:tcBorders>
          </w:tcPr>
          <w:p w14:paraId="5FC4EB1D" w14:textId="7CF69AE6" w:rsidR="00175C1E" w:rsidRPr="001D4A8D" w:rsidRDefault="00BD502A" w:rsidP="00207894">
            <w:pPr>
              <w:rPr>
                <w:rFonts w:ascii="Arial" w:eastAsia="PMingLiU" w:hAnsi="Arial" w:cs="Arial"/>
                <w:lang w:eastAsia="zh-TW"/>
              </w:rPr>
            </w:pPr>
            <w:r w:rsidRPr="001D4A8D">
              <w:rPr>
                <w:rFonts w:ascii="Arial" w:eastAsia="PMingLiU" w:hAnsi="Arial" w:cs="Arial"/>
                <w:lang w:eastAsia="zh-TW"/>
              </w:rPr>
              <w:t>Designates funding for FastTracker</w:t>
            </w:r>
          </w:p>
        </w:tc>
        <w:tc>
          <w:tcPr>
            <w:tcW w:w="1228" w:type="dxa"/>
            <w:tcBorders>
              <w:top w:val="single" w:sz="12" w:space="0" w:color="auto"/>
              <w:left w:val="single" w:sz="12" w:space="0" w:color="auto"/>
            </w:tcBorders>
          </w:tcPr>
          <w:p w14:paraId="207C9CC4" w14:textId="77777777" w:rsidR="00175C1E" w:rsidRPr="001D4A8D" w:rsidRDefault="00175C1E" w:rsidP="00207894">
            <w:pPr>
              <w:rPr>
                <w:rFonts w:ascii="Arial" w:hAnsi="Arial" w:cs="Arial"/>
                <w:sz w:val="20"/>
                <w:szCs w:val="20"/>
              </w:rPr>
            </w:pPr>
          </w:p>
        </w:tc>
        <w:tc>
          <w:tcPr>
            <w:tcW w:w="2250" w:type="dxa"/>
            <w:tcBorders>
              <w:top w:val="single" w:sz="12" w:space="0" w:color="auto"/>
            </w:tcBorders>
          </w:tcPr>
          <w:p w14:paraId="6796CDE3" w14:textId="77777777" w:rsidR="00175C1E" w:rsidRPr="001D4A8D" w:rsidRDefault="00175C1E" w:rsidP="00207894">
            <w:pPr>
              <w:rPr>
                <w:rFonts w:ascii="Arial" w:hAnsi="Arial" w:cs="Arial"/>
                <w:sz w:val="20"/>
                <w:szCs w:val="20"/>
              </w:rPr>
            </w:pPr>
          </w:p>
        </w:tc>
        <w:tc>
          <w:tcPr>
            <w:tcW w:w="1705" w:type="dxa"/>
            <w:tcBorders>
              <w:top w:val="single" w:sz="12" w:space="0" w:color="auto"/>
              <w:right w:val="single" w:sz="12" w:space="0" w:color="auto"/>
            </w:tcBorders>
          </w:tcPr>
          <w:p w14:paraId="1F6570A2" w14:textId="77777777" w:rsidR="00175C1E" w:rsidRPr="001D4A8D" w:rsidRDefault="00175C1E" w:rsidP="00207894">
            <w:pPr>
              <w:rPr>
                <w:rFonts w:ascii="Arial" w:hAnsi="Arial" w:cs="Arial"/>
                <w:sz w:val="20"/>
                <w:szCs w:val="20"/>
              </w:rPr>
            </w:pPr>
          </w:p>
        </w:tc>
      </w:tr>
      <w:tr w:rsidR="00175C1E" w:rsidRPr="001D4A8D" w14:paraId="3987C338" w14:textId="77777777" w:rsidTr="00A6213D">
        <w:trPr>
          <w:trHeight w:val="144"/>
        </w:trPr>
        <w:tc>
          <w:tcPr>
            <w:tcW w:w="1752" w:type="dxa"/>
            <w:vMerge/>
            <w:tcBorders>
              <w:left w:val="single" w:sz="12" w:space="0" w:color="auto"/>
              <w:bottom w:val="single" w:sz="12" w:space="0" w:color="auto"/>
              <w:right w:val="single" w:sz="4" w:space="0" w:color="000000"/>
            </w:tcBorders>
          </w:tcPr>
          <w:p w14:paraId="1AA4D91E" w14:textId="77777777" w:rsidR="00175C1E" w:rsidRPr="001D4A8D" w:rsidRDefault="00175C1E" w:rsidP="00CC297A">
            <w:pPr>
              <w:rPr>
                <w:rFonts w:ascii="Arial" w:eastAsia="PMingLiU" w:hAnsi="Arial" w:cs="Arial"/>
                <w:lang w:eastAsia="zh-TW"/>
              </w:rPr>
            </w:pPr>
          </w:p>
        </w:tc>
        <w:tc>
          <w:tcPr>
            <w:tcW w:w="6695" w:type="dxa"/>
            <w:vMerge/>
            <w:tcBorders>
              <w:left w:val="single" w:sz="4" w:space="0" w:color="000000"/>
              <w:bottom w:val="single" w:sz="12" w:space="0" w:color="auto"/>
              <w:right w:val="single" w:sz="12" w:space="0" w:color="auto"/>
            </w:tcBorders>
          </w:tcPr>
          <w:p w14:paraId="412A0593" w14:textId="77777777" w:rsidR="00175C1E" w:rsidRPr="001D4A8D" w:rsidRDefault="00175C1E" w:rsidP="00CC297A">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0424C2A8" w14:textId="77777777" w:rsidR="00175C1E" w:rsidRPr="001D4A8D" w:rsidRDefault="00175C1E" w:rsidP="00CC297A">
            <w:pPr>
              <w:rPr>
                <w:rFonts w:ascii="Arial" w:hAnsi="Arial" w:cs="Arial"/>
                <w:sz w:val="20"/>
                <w:szCs w:val="20"/>
              </w:rPr>
            </w:pPr>
          </w:p>
        </w:tc>
        <w:tc>
          <w:tcPr>
            <w:tcW w:w="2250" w:type="dxa"/>
            <w:tcBorders>
              <w:bottom w:val="single" w:sz="12" w:space="0" w:color="auto"/>
            </w:tcBorders>
            <w:shd w:val="clear" w:color="auto" w:fill="E7E6E6" w:themeFill="background2"/>
          </w:tcPr>
          <w:p w14:paraId="114C49E0" w14:textId="77777777" w:rsidR="00175C1E" w:rsidRPr="001D4A8D" w:rsidRDefault="00175C1E" w:rsidP="00CC297A">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36BADB9C" w14:textId="77777777" w:rsidR="00175C1E" w:rsidRPr="001D4A8D" w:rsidRDefault="00175C1E" w:rsidP="00CC297A">
            <w:pPr>
              <w:rPr>
                <w:rFonts w:ascii="Arial" w:hAnsi="Arial" w:cs="Arial"/>
                <w:sz w:val="20"/>
                <w:szCs w:val="20"/>
              </w:rPr>
            </w:pPr>
          </w:p>
        </w:tc>
      </w:tr>
      <w:tr w:rsidR="00175C1E" w:rsidRPr="001D4A8D" w14:paraId="2F9DE426"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0037ACD3" w14:textId="7809071D" w:rsidR="00175C1E" w:rsidRPr="001D4A8D" w:rsidRDefault="00175C1E" w:rsidP="00175C1E">
            <w:pPr>
              <w:rPr>
                <w:rFonts w:ascii="Arial" w:eastAsia="PMingLiU" w:hAnsi="Arial" w:cs="Arial"/>
                <w:lang w:eastAsia="zh-TW"/>
              </w:rPr>
            </w:pPr>
            <w:r w:rsidRPr="001D4A8D">
              <w:rPr>
                <w:rFonts w:ascii="Arial" w:hAnsi="Arial" w:cs="Arial"/>
              </w:rPr>
              <w:lastRenderedPageBreak/>
              <w:t>Housing</w:t>
            </w:r>
            <w:r w:rsidRPr="001D4A8D">
              <w:rPr>
                <w:rFonts w:ascii="Arial" w:hAnsi="Arial" w:cs="Arial"/>
              </w:rPr>
              <w:tab/>
            </w:r>
          </w:p>
        </w:tc>
        <w:tc>
          <w:tcPr>
            <w:tcW w:w="6695" w:type="dxa"/>
            <w:vMerge w:val="restart"/>
            <w:tcBorders>
              <w:top w:val="single" w:sz="12" w:space="0" w:color="auto"/>
              <w:right w:val="single" w:sz="12" w:space="0" w:color="auto"/>
            </w:tcBorders>
            <w:shd w:val="clear" w:color="auto" w:fill="D9E2F3" w:themeFill="accent1" w:themeFillTint="33"/>
          </w:tcPr>
          <w:p w14:paraId="72EDCB34" w14:textId="0D62D355" w:rsidR="00175C1E" w:rsidRPr="001D4A8D" w:rsidRDefault="00175C1E" w:rsidP="00175C1E">
            <w:pPr>
              <w:rPr>
                <w:rFonts w:ascii="Arial" w:eastAsia="PMingLiU" w:hAnsi="Arial" w:cs="Arial"/>
                <w:lang w:eastAsia="zh-TW"/>
              </w:rPr>
            </w:pPr>
            <w:r w:rsidRPr="001D4A8D">
              <w:rPr>
                <w:rFonts w:ascii="Arial" w:hAnsi="Arial" w:cs="Arial"/>
              </w:rPr>
              <w:t>Increases base funding for Housing with Supports for Adults with Serious Mental Illness (supportive housing grant)</w:t>
            </w:r>
          </w:p>
        </w:tc>
        <w:tc>
          <w:tcPr>
            <w:tcW w:w="1228" w:type="dxa"/>
            <w:tcBorders>
              <w:top w:val="single" w:sz="12" w:space="0" w:color="auto"/>
              <w:left w:val="single" w:sz="12" w:space="0" w:color="auto"/>
            </w:tcBorders>
            <w:shd w:val="clear" w:color="auto" w:fill="FFFFFF" w:themeFill="background1"/>
          </w:tcPr>
          <w:p w14:paraId="27997EB5" w14:textId="6145F1B6" w:rsidR="00175C1E" w:rsidRPr="001D4A8D" w:rsidRDefault="00175C1E" w:rsidP="00175C1E">
            <w:pPr>
              <w:rPr>
                <w:rFonts w:ascii="Arial" w:hAnsi="Arial" w:cs="Arial"/>
                <w:sz w:val="20"/>
                <w:szCs w:val="20"/>
              </w:rPr>
            </w:pPr>
            <w:r w:rsidRPr="001D4A8D">
              <w:rPr>
                <w:rFonts w:ascii="Arial" w:hAnsi="Arial" w:cs="Arial"/>
                <w:sz w:val="20"/>
                <w:szCs w:val="20"/>
              </w:rPr>
              <w:t>SF1014</w:t>
            </w:r>
          </w:p>
        </w:tc>
        <w:tc>
          <w:tcPr>
            <w:tcW w:w="2250" w:type="dxa"/>
            <w:tcBorders>
              <w:top w:val="single" w:sz="12" w:space="0" w:color="auto"/>
            </w:tcBorders>
            <w:shd w:val="clear" w:color="auto" w:fill="FFFFFF" w:themeFill="background1"/>
          </w:tcPr>
          <w:p w14:paraId="469EAE82" w14:textId="5B15B4E2" w:rsidR="00175C1E" w:rsidRPr="001D4A8D" w:rsidRDefault="00175C1E" w:rsidP="00175C1E">
            <w:pPr>
              <w:rPr>
                <w:rFonts w:ascii="Arial" w:hAnsi="Arial" w:cs="Arial"/>
                <w:sz w:val="20"/>
                <w:szCs w:val="20"/>
              </w:rPr>
            </w:pPr>
            <w:r w:rsidRPr="001D4A8D">
              <w:rPr>
                <w:rFonts w:ascii="Arial" w:hAnsi="Arial" w:cs="Arial"/>
                <w:sz w:val="20"/>
                <w:szCs w:val="20"/>
              </w:rPr>
              <w:t>Fateh</w:t>
            </w:r>
            <w:r w:rsidR="00BD1F01" w:rsidRPr="001D4A8D">
              <w:rPr>
                <w:rFonts w:ascii="Arial" w:hAnsi="Arial" w:cs="Arial"/>
                <w:sz w:val="20"/>
                <w:szCs w:val="20"/>
              </w:rPr>
              <w:t>, Abeler</w:t>
            </w:r>
          </w:p>
        </w:tc>
        <w:tc>
          <w:tcPr>
            <w:tcW w:w="1705" w:type="dxa"/>
            <w:tcBorders>
              <w:top w:val="single" w:sz="12" w:space="0" w:color="auto"/>
              <w:right w:val="single" w:sz="12" w:space="0" w:color="auto"/>
            </w:tcBorders>
            <w:shd w:val="clear" w:color="auto" w:fill="FFFFFF" w:themeFill="background1"/>
          </w:tcPr>
          <w:p w14:paraId="50999960" w14:textId="00521B69" w:rsidR="00175C1E" w:rsidRPr="001D4A8D" w:rsidRDefault="00BD1F01" w:rsidP="00175C1E">
            <w:pPr>
              <w:rPr>
                <w:rFonts w:ascii="Arial" w:hAnsi="Arial" w:cs="Arial"/>
                <w:sz w:val="20"/>
                <w:szCs w:val="20"/>
              </w:rPr>
            </w:pPr>
            <w:r w:rsidRPr="001D4A8D">
              <w:rPr>
                <w:rFonts w:ascii="Arial" w:hAnsi="Arial" w:cs="Arial"/>
                <w:sz w:val="20"/>
                <w:szCs w:val="20"/>
              </w:rPr>
              <w:t xml:space="preserve">Referred to </w:t>
            </w:r>
            <w:r w:rsidR="00175C1E" w:rsidRPr="001D4A8D">
              <w:rPr>
                <w:rFonts w:ascii="Arial" w:hAnsi="Arial" w:cs="Arial"/>
                <w:sz w:val="20"/>
                <w:szCs w:val="20"/>
              </w:rPr>
              <w:t>Health</w:t>
            </w:r>
          </w:p>
        </w:tc>
      </w:tr>
      <w:tr w:rsidR="00175C1E" w:rsidRPr="001D4A8D" w14:paraId="2281084E"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3FE2D22C" w14:textId="77777777" w:rsidR="00175C1E" w:rsidRPr="001D4A8D" w:rsidRDefault="00175C1E" w:rsidP="00175C1E">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7BA5AB43" w14:textId="77777777" w:rsidR="00175C1E" w:rsidRPr="001D4A8D" w:rsidRDefault="00175C1E" w:rsidP="00175C1E">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1DA81BE8" w14:textId="3A390930" w:rsidR="00175C1E" w:rsidRPr="001D4A8D" w:rsidRDefault="00175C1E" w:rsidP="00175C1E">
            <w:pPr>
              <w:rPr>
                <w:rFonts w:ascii="Arial" w:hAnsi="Arial" w:cs="Arial"/>
                <w:sz w:val="20"/>
                <w:szCs w:val="20"/>
              </w:rPr>
            </w:pPr>
            <w:r w:rsidRPr="001D4A8D">
              <w:rPr>
                <w:rFonts w:ascii="Arial" w:hAnsi="Arial" w:cs="Arial"/>
                <w:sz w:val="20"/>
                <w:szCs w:val="20"/>
              </w:rPr>
              <w:t>HF 99</w:t>
            </w:r>
          </w:p>
        </w:tc>
        <w:tc>
          <w:tcPr>
            <w:tcW w:w="2250" w:type="dxa"/>
            <w:tcBorders>
              <w:bottom w:val="single" w:sz="12" w:space="0" w:color="auto"/>
            </w:tcBorders>
            <w:shd w:val="clear" w:color="auto" w:fill="E7E6E6" w:themeFill="background2"/>
          </w:tcPr>
          <w:p w14:paraId="554362C7" w14:textId="39225A78" w:rsidR="00175C1E" w:rsidRPr="001D4A8D" w:rsidRDefault="00175C1E" w:rsidP="00175C1E">
            <w:pPr>
              <w:rPr>
                <w:rFonts w:ascii="Arial" w:hAnsi="Arial" w:cs="Arial"/>
                <w:sz w:val="20"/>
                <w:szCs w:val="20"/>
              </w:rPr>
            </w:pPr>
            <w:r w:rsidRPr="001D4A8D">
              <w:rPr>
                <w:rFonts w:ascii="Arial" w:hAnsi="Arial" w:cs="Arial"/>
                <w:sz w:val="20"/>
                <w:szCs w:val="20"/>
              </w:rPr>
              <w:t>Sencer-Mura</w:t>
            </w:r>
          </w:p>
        </w:tc>
        <w:tc>
          <w:tcPr>
            <w:tcW w:w="1705" w:type="dxa"/>
            <w:tcBorders>
              <w:bottom w:val="single" w:sz="12" w:space="0" w:color="auto"/>
              <w:right w:val="single" w:sz="12" w:space="0" w:color="auto"/>
            </w:tcBorders>
            <w:shd w:val="clear" w:color="auto" w:fill="E7E6E6" w:themeFill="background2"/>
          </w:tcPr>
          <w:p w14:paraId="153161C9" w14:textId="08E9DF29" w:rsidR="00175C1E" w:rsidRPr="001D4A8D" w:rsidRDefault="00BD1F01" w:rsidP="00175C1E">
            <w:pPr>
              <w:rPr>
                <w:rFonts w:ascii="Arial" w:hAnsi="Arial" w:cs="Arial"/>
                <w:sz w:val="20"/>
                <w:szCs w:val="20"/>
              </w:rPr>
            </w:pPr>
            <w:r w:rsidRPr="001D4A8D">
              <w:rPr>
                <w:rFonts w:ascii="Arial" w:hAnsi="Arial" w:cs="Arial"/>
                <w:sz w:val="20"/>
                <w:szCs w:val="20"/>
              </w:rPr>
              <w:t xml:space="preserve">Referred to </w:t>
            </w:r>
            <w:r w:rsidR="00175C1E" w:rsidRPr="001D4A8D">
              <w:rPr>
                <w:rFonts w:ascii="Arial" w:hAnsi="Arial" w:cs="Arial"/>
                <w:sz w:val="20"/>
                <w:szCs w:val="20"/>
              </w:rPr>
              <w:t>Human Services</w:t>
            </w:r>
          </w:p>
        </w:tc>
      </w:tr>
      <w:tr w:rsidR="00175C1E" w:rsidRPr="001D4A8D" w14:paraId="6824DE2E"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556B716D" w14:textId="77777777" w:rsidR="00175C1E" w:rsidRPr="001D4A8D" w:rsidRDefault="00175C1E" w:rsidP="00207894">
            <w:pPr>
              <w:spacing w:line="278" w:lineRule="auto"/>
              <w:rPr>
                <w:rFonts w:ascii="Arial" w:eastAsia="PMingLiU" w:hAnsi="Arial" w:cs="Arial"/>
                <w:lang w:eastAsia="zh-TW"/>
              </w:rPr>
            </w:pPr>
            <w:r w:rsidRPr="001D4A8D">
              <w:rPr>
                <w:rFonts w:ascii="Arial" w:eastAsia="PMingLiU" w:hAnsi="Arial" w:cs="Arial"/>
                <w:lang w:eastAsia="zh-TW"/>
              </w:rPr>
              <w:t>Jail Diversion Grants</w:t>
            </w:r>
          </w:p>
        </w:tc>
        <w:tc>
          <w:tcPr>
            <w:tcW w:w="6695" w:type="dxa"/>
            <w:vMerge w:val="restart"/>
            <w:tcBorders>
              <w:top w:val="single" w:sz="12" w:space="0" w:color="auto"/>
              <w:right w:val="single" w:sz="12" w:space="0" w:color="auto"/>
            </w:tcBorders>
            <w:shd w:val="clear" w:color="auto" w:fill="D9E2F3" w:themeFill="accent1" w:themeFillTint="33"/>
          </w:tcPr>
          <w:p w14:paraId="15EB54F1" w14:textId="77777777" w:rsidR="00175C1E" w:rsidRPr="001D4A8D" w:rsidRDefault="00175C1E" w:rsidP="00207894">
            <w:pPr>
              <w:rPr>
                <w:rFonts w:ascii="Arial" w:hAnsi="Arial" w:cs="Arial"/>
              </w:rPr>
            </w:pPr>
            <w:r w:rsidRPr="001D4A8D">
              <w:rPr>
                <w:rFonts w:ascii="Arial" w:eastAsia="PMingLiU" w:hAnsi="Arial" w:cs="Arial"/>
                <w:lang w:eastAsia="zh-TW"/>
              </w:rPr>
              <w:t>Funds jail diversion and deflection services for people with mental illnesses and substance use disorders</w:t>
            </w:r>
          </w:p>
        </w:tc>
        <w:tc>
          <w:tcPr>
            <w:tcW w:w="1228" w:type="dxa"/>
            <w:tcBorders>
              <w:top w:val="single" w:sz="12" w:space="0" w:color="auto"/>
              <w:left w:val="single" w:sz="12" w:space="0" w:color="auto"/>
            </w:tcBorders>
          </w:tcPr>
          <w:p w14:paraId="00265C13" w14:textId="77777777" w:rsidR="00175C1E" w:rsidRPr="001D4A8D" w:rsidRDefault="00175C1E" w:rsidP="00207894">
            <w:pPr>
              <w:rPr>
                <w:rFonts w:ascii="Arial" w:hAnsi="Arial" w:cs="Arial"/>
                <w:sz w:val="20"/>
                <w:szCs w:val="20"/>
              </w:rPr>
            </w:pPr>
          </w:p>
        </w:tc>
        <w:tc>
          <w:tcPr>
            <w:tcW w:w="2250" w:type="dxa"/>
            <w:tcBorders>
              <w:top w:val="single" w:sz="12" w:space="0" w:color="auto"/>
            </w:tcBorders>
          </w:tcPr>
          <w:p w14:paraId="5AA6F30F" w14:textId="7ABBFF26" w:rsidR="00175C1E" w:rsidRPr="001D4A8D" w:rsidRDefault="00175C1E" w:rsidP="00207894">
            <w:pPr>
              <w:rPr>
                <w:rFonts w:ascii="Arial" w:hAnsi="Arial" w:cs="Arial"/>
                <w:sz w:val="20"/>
                <w:szCs w:val="20"/>
              </w:rPr>
            </w:pPr>
          </w:p>
        </w:tc>
        <w:tc>
          <w:tcPr>
            <w:tcW w:w="1705" w:type="dxa"/>
            <w:tcBorders>
              <w:top w:val="single" w:sz="12" w:space="0" w:color="auto"/>
              <w:right w:val="single" w:sz="12" w:space="0" w:color="auto"/>
            </w:tcBorders>
          </w:tcPr>
          <w:p w14:paraId="51C75C18" w14:textId="77777777" w:rsidR="00175C1E" w:rsidRPr="001D4A8D" w:rsidRDefault="00175C1E" w:rsidP="00207894">
            <w:pPr>
              <w:rPr>
                <w:rFonts w:ascii="Arial" w:hAnsi="Arial" w:cs="Arial"/>
                <w:sz w:val="20"/>
                <w:szCs w:val="20"/>
              </w:rPr>
            </w:pPr>
          </w:p>
        </w:tc>
      </w:tr>
      <w:tr w:rsidR="00175C1E" w:rsidRPr="001D4A8D" w14:paraId="118C5365"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5C2596CD" w14:textId="77777777" w:rsidR="00175C1E" w:rsidRPr="001D4A8D" w:rsidRDefault="00175C1E" w:rsidP="00175C1E">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291722E5" w14:textId="77777777" w:rsidR="00175C1E" w:rsidRPr="001D4A8D" w:rsidRDefault="00175C1E" w:rsidP="00175C1E">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77A27EA9" w14:textId="77777777" w:rsidR="00175C1E" w:rsidRPr="001D4A8D" w:rsidRDefault="00175C1E" w:rsidP="00175C1E">
            <w:pPr>
              <w:rPr>
                <w:rFonts w:ascii="Arial" w:hAnsi="Arial" w:cs="Arial"/>
                <w:sz w:val="20"/>
                <w:szCs w:val="20"/>
              </w:rPr>
            </w:pPr>
          </w:p>
        </w:tc>
        <w:tc>
          <w:tcPr>
            <w:tcW w:w="2250" w:type="dxa"/>
            <w:tcBorders>
              <w:bottom w:val="single" w:sz="12" w:space="0" w:color="auto"/>
            </w:tcBorders>
            <w:shd w:val="clear" w:color="auto" w:fill="E7E6E6" w:themeFill="background2"/>
          </w:tcPr>
          <w:p w14:paraId="2FE20092" w14:textId="77777777" w:rsidR="00175C1E" w:rsidRPr="001D4A8D" w:rsidRDefault="00175C1E" w:rsidP="00175C1E">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0C3CBF87" w14:textId="77777777" w:rsidR="00175C1E" w:rsidRPr="001D4A8D" w:rsidRDefault="00175C1E" w:rsidP="00175C1E">
            <w:pPr>
              <w:rPr>
                <w:rFonts w:ascii="Arial" w:hAnsi="Arial" w:cs="Arial"/>
                <w:sz w:val="20"/>
                <w:szCs w:val="20"/>
              </w:rPr>
            </w:pPr>
          </w:p>
        </w:tc>
      </w:tr>
      <w:tr w:rsidR="00175C1E" w:rsidRPr="001D4A8D" w14:paraId="20E5C877"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70CD6951" w14:textId="77777777" w:rsidR="00175C1E" w:rsidRPr="001D4A8D" w:rsidRDefault="00175C1E" w:rsidP="00207894">
            <w:pPr>
              <w:rPr>
                <w:rFonts w:ascii="Arial" w:eastAsia="PMingLiU" w:hAnsi="Arial" w:cs="Arial"/>
                <w:lang w:eastAsia="zh-TW"/>
              </w:rPr>
            </w:pPr>
            <w:r w:rsidRPr="001D4A8D">
              <w:rPr>
                <w:rFonts w:ascii="Arial" w:eastAsia="PMingLiU" w:hAnsi="Arial" w:cs="Arial"/>
                <w:lang w:eastAsia="zh-TW"/>
              </w:rPr>
              <w:t>Juvenile Detention</w:t>
            </w:r>
          </w:p>
        </w:tc>
        <w:tc>
          <w:tcPr>
            <w:tcW w:w="6695" w:type="dxa"/>
            <w:vMerge w:val="restart"/>
            <w:tcBorders>
              <w:top w:val="single" w:sz="12" w:space="0" w:color="auto"/>
              <w:right w:val="single" w:sz="12" w:space="0" w:color="auto"/>
            </w:tcBorders>
            <w:shd w:val="clear" w:color="auto" w:fill="D9E2F3" w:themeFill="accent1" w:themeFillTint="33"/>
          </w:tcPr>
          <w:p w14:paraId="134E44F6" w14:textId="77777777" w:rsidR="00175C1E" w:rsidRPr="001D4A8D" w:rsidRDefault="00175C1E" w:rsidP="00207894">
            <w:pPr>
              <w:rPr>
                <w:rFonts w:ascii="Arial" w:eastAsia="PMingLiU" w:hAnsi="Arial" w:cs="Arial"/>
                <w:lang w:eastAsia="zh-TW"/>
              </w:rPr>
            </w:pPr>
            <w:r w:rsidRPr="001D4A8D">
              <w:rPr>
                <w:rFonts w:ascii="Arial" w:hAnsi="Arial" w:cs="Arial"/>
              </w:rPr>
              <w:t>Funds mental health staff in juvenile detention and establishes High-Fidelity Wraparound to support youth and families transitioning to community</w:t>
            </w:r>
          </w:p>
        </w:tc>
        <w:tc>
          <w:tcPr>
            <w:tcW w:w="1228" w:type="dxa"/>
            <w:tcBorders>
              <w:top w:val="single" w:sz="12" w:space="0" w:color="auto"/>
              <w:left w:val="single" w:sz="12" w:space="0" w:color="auto"/>
            </w:tcBorders>
          </w:tcPr>
          <w:p w14:paraId="3CB840A6" w14:textId="77777777" w:rsidR="00175C1E" w:rsidRPr="001D4A8D" w:rsidRDefault="00175C1E" w:rsidP="00207894">
            <w:pPr>
              <w:rPr>
                <w:rFonts w:ascii="Arial" w:hAnsi="Arial" w:cs="Arial"/>
                <w:sz w:val="20"/>
                <w:szCs w:val="20"/>
              </w:rPr>
            </w:pPr>
          </w:p>
        </w:tc>
        <w:tc>
          <w:tcPr>
            <w:tcW w:w="2250" w:type="dxa"/>
            <w:tcBorders>
              <w:top w:val="single" w:sz="12" w:space="0" w:color="auto"/>
            </w:tcBorders>
          </w:tcPr>
          <w:p w14:paraId="0394EB63" w14:textId="6CD61C92" w:rsidR="00175C1E" w:rsidRPr="001D4A8D" w:rsidRDefault="00175C1E" w:rsidP="00207894">
            <w:pPr>
              <w:rPr>
                <w:rFonts w:ascii="Arial" w:hAnsi="Arial" w:cs="Arial"/>
                <w:sz w:val="20"/>
                <w:szCs w:val="20"/>
              </w:rPr>
            </w:pPr>
          </w:p>
        </w:tc>
        <w:tc>
          <w:tcPr>
            <w:tcW w:w="1705" w:type="dxa"/>
            <w:tcBorders>
              <w:top w:val="single" w:sz="12" w:space="0" w:color="auto"/>
              <w:right w:val="single" w:sz="12" w:space="0" w:color="auto"/>
            </w:tcBorders>
          </w:tcPr>
          <w:p w14:paraId="0316E898" w14:textId="77777777" w:rsidR="00175C1E" w:rsidRPr="001D4A8D" w:rsidRDefault="00175C1E" w:rsidP="00207894">
            <w:pPr>
              <w:rPr>
                <w:rFonts w:ascii="Arial" w:hAnsi="Arial" w:cs="Arial"/>
                <w:sz w:val="20"/>
                <w:szCs w:val="20"/>
              </w:rPr>
            </w:pPr>
          </w:p>
        </w:tc>
      </w:tr>
      <w:tr w:rsidR="00175C1E" w:rsidRPr="001D4A8D" w14:paraId="1E55A212"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062242F2" w14:textId="77777777" w:rsidR="00175C1E" w:rsidRPr="001D4A8D" w:rsidRDefault="00175C1E" w:rsidP="00175C1E">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6B6EFE20" w14:textId="77777777" w:rsidR="00175C1E" w:rsidRPr="001D4A8D" w:rsidRDefault="00175C1E" w:rsidP="00175C1E">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1C180504" w14:textId="77777777" w:rsidR="00175C1E" w:rsidRPr="001D4A8D" w:rsidRDefault="00175C1E" w:rsidP="00175C1E">
            <w:pPr>
              <w:rPr>
                <w:rFonts w:ascii="Arial" w:hAnsi="Arial" w:cs="Arial"/>
                <w:sz w:val="20"/>
                <w:szCs w:val="20"/>
              </w:rPr>
            </w:pPr>
          </w:p>
        </w:tc>
        <w:tc>
          <w:tcPr>
            <w:tcW w:w="2250" w:type="dxa"/>
            <w:tcBorders>
              <w:bottom w:val="single" w:sz="12" w:space="0" w:color="auto"/>
            </w:tcBorders>
            <w:shd w:val="clear" w:color="auto" w:fill="E7E6E6" w:themeFill="background2"/>
          </w:tcPr>
          <w:p w14:paraId="608539CD" w14:textId="77777777" w:rsidR="00175C1E" w:rsidRPr="001D4A8D" w:rsidRDefault="00175C1E" w:rsidP="00175C1E">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72075505" w14:textId="77777777" w:rsidR="00175C1E" w:rsidRPr="001D4A8D" w:rsidRDefault="00175C1E" w:rsidP="00175C1E">
            <w:pPr>
              <w:rPr>
                <w:rFonts w:ascii="Arial" w:hAnsi="Arial" w:cs="Arial"/>
                <w:sz w:val="20"/>
                <w:szCs w:val="20"/>
              </w:rPr>
            </w:pPr>
          </w:p>
        </w:tc>
      </w:tr>
      <w:tr w:rsidR="00175C1E" w:rsidRPr="001D4A8D" w14:paraId="1F7A8417"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6583E2CA" w14:textId="77777777" w:rsidR="00175C1E" w:rsidRPr="001D4A8D" w:rsidRDefault="00175C1E" w:rsidP="00207894">
            <w:pPr>
              <w:rPr>
                <w:rFonts w:ascii="Arial" w:eastAsia="PMingLiU" w:hAnsi="Arial" w:cs="Arial"/>
                <w:lang w:eastAsia="zh-TW"/>
              </w:rPr>
            </w:pPr>
            <w:r w:rsidRPr="001D4A8D">
              <w:rPr>
                <w:rFonts w:ascii="Arial" w:eastAsia="PMingLiU" w:hAnsi="Arial" w:cs="Arial"/>
                <w:lang w:eastAsia="zh-TW"/>
              </w:rPr>
              <w:t xml:space="preserve">Priority Admissions Task Force </w:t>
            </w:r>
          </w:p>
        </w:tc>
        <w:tc>
          <w:tcPr>
            <w:tcW w:w="6695" w:type="dxa"/>
            <w:vMerge w:val="restart"/>
            <w:tcBorders>
              <w:top w:val="single" w:sz="12" w:space="0" w:color="auto"/>
              <w:left w:val="single" w:sz="4" w:space="0" w:color="000000"/>
              <w:right w:val="single" w:sz="12" w:space="0" w:color="auto"/>
            </w:tcBorders>
            <w:shd w:val="clear" w:color="auto" w:fill="D9E2F3" w:themeFill="accent1" w:themeFillTint="33"/>
          </w:tcPr>
          <w:p w14:paraId="0FA051CD" w14:textId="77777777" w:rsidR="00175C1E" w:rsidRPr="001D4A8D" w:rsidRDefault="00175C1E" w:rsidP="00207894">
            <w:pPr>
              <w:rPr>
                <w:rFonts w:ascii="Arial" w:eastAsia="PMingLiU" w:hAnsi="Arial" w:cs="Arial"/>
                <w:lang w:eastAsia="zh-TW"/>
              </w:rPr>
            </w:pPr>
            <w:bookmarkStart w:id="0" w:name="_Hlk189820242"/>
            <w:r w:rsidRPr="001D4A8D">
              <w:rPr>
                <w:rFonts w:ascii="Arial" w:eastAsia="PMingLiU" w:hAnsi="Arial" w:cs="Arial"/>
                <w:lang w:eastAsia="zh-TW"/>
              </w:rPr>
              <w:t>Set aside bonding dollars to plan a new 50 bed facility at AMRTC to treat people with mental illnesses from jails, maintain the current language to meet the 48-hour timeline provided a medically appropriate bed is open, keep the task force going and create more transparency regarding waiting lists and progress</w:t>
            </w:r>
            <w:bookmarkEnd w:id="0"/>
          </w:p>
        </w:tc>
        <w:tc>
          <w:tcPr>
            <w:tcW w:w="1228" w:type="dxa"/>
            <w:tcBorders>
              <w:top w:val="single" w:sz="12" w:space="0" w:color="auto"/>
              <w:left w:val="single" w:sz="12" w:space="0" w:color="auto"/>
            </w:tcBorders>
          </w:tcPr>
          <w:p w14:paraId="146EE6F7" w14:textId="77777777" w:rsidR="00175C1E" w:rsidRPr="001D4A8D" w:rsidRDefault="00175C1E" w:rsidP="00207894">
            <w:pPr>
              <w:rPr>
                <w:rFonts w:ascii="Arial" w:hAnsi="Arial" w:cs="Arial"/>
                <w:sz w:val="20"/>
                <w:szCs w:val="20"/>
              </w:rPr>
            </w:pPr>
          </w:p>
        </w:tc>
        <w:tc>
          <w:tcPr>
            <w:tcW w:w="2250" w:type="dxa"/>
            <w:tcBorders>
              <w:top w:val="single" w:sz="12" w:space="0" w:color="auto"/>
            </w:tcBorders>
          </w:tcPr>
          <w:p w14:paraId="60C4A438" w14:textId="77777777" w:rsidR="00175C1E" w:rsidRPr="001D4A8D" w:rsidRDefault="00175C1E" w:rsidP="00207894">
            <w:pPr>
              <w:rPr>
                <w:rFonts w:ascii="Arial" w:hAnsi="Arial" w:cs="Arial"/>
                <w:sz w:val="20"/>
                <w:szCs w:val="20"/>
              </w:rPr>
            </w:pPr>
            <w:r w:rsidRPr="001D4A8D">
              <w:rPr>
                <w:rFonts w:ascii="Arial" w:hAnsi="Arial" w:cs="Arial"/>
                <w:sz w:val="20"/>
                <w:szCs w:val="20"/>
              </w:rPr>
              <w:t>Abeler</w:t>
            </w:r>
          </w:p>
        </w:tc>
        <w:tc>
          <w:tcPr>
            <w:tcW w:w="1705" w:type="dxa"/>
            <w:tcBorders>
              <w:top w:val="single" w:sz="12" w:space="0" w:color="auto"/>
              <w:right w:val="single" w:sz="12" w:space="0" w:color="auto"/>
            </w:tcBorders>
          </w:tcPr>
          <w:p w14:paraId="72DCE643" w14:textId="77777777" w:rsidR="00175C1E" w:rsidRPr="001D4A8D" w:rsidRDefault="00175C1E" w:rsidP="00207894">
            <w:pPr>
              <w:rPr>
                <w:rFonts w:ascii="Arial" w:hAnsi="Arial" w:cs="Arial"/>
                <w:sz w:val="20"/>
                <w:szCs w:val="20"/>
              </w:rPr>
            </w:pPr>
          </w:p>
        </w:tc>
      </w:tr>
      <w:tr w:rsidR="00175C1E" w:rsidRPr="001D4A8D" w14:paraId="73DEEF45" w14:textId="77777777" w:rsidTr="00A6213D">
        <w:trPr>
          <w:trHeight w:val="144"/>
        </w:trPr>
        <w:tc>
          <w:tcPr>
            <w:tcW w:w="1752" w:type="dxa"/>
            <w:vMerge/>
            <w:tcBorders>
              <w:left w:val="single" w:sz="12" w:space="0" w:color="auto"/>
              <w:bottom w:val="single" w:sz="12" w:space="0" w:color="auto"/>
            </w:tcBorders>
            <w:shd w:val="clear" w:color="auto" w:fill="D9E2F3" w:themeFill="accent1" w:themeFillTint="33"/>
          </w:tcPr>
          <w:p w14:paraId="6FDAEB6B" w14:textId="77777777" w:rsidR="00175C1E" w:rsidRPr="001D4A8D" w:rsidRDefault="00175C1E" w:rsidP="00175C1E">
            <w:pPr>
              <w:rPr>
                <w:rFonts w:ascii="Arial" w:eastAsia="PMingLiU" w:hAnsi="Arial" w:cs="Arial"/>
                <w:lang w:eastAsia="zh-TW"/>
              </w:rPr>
            </w:pPr>
          </w:p>
        </w:tc>
        <w:tc>
          <w:tcPr>
            <w:tcW w:w="6695" w:type="dxa"/>
            <w:vMerge/>
            <w:tcBorders>
              <w:bottom w:val="single" w:sz="12" w:space="0" w:color="auto"/>
              <w:right w:val="single" w:sz="12" w:space="0" w:color="auto"/>
            </w:tcBorders>
            <w:shd w:val="clear" w:color="auto" w:fill="D9E2F3" w:themeFill="accent1" w:themeFillTint="33"/>
          </w:tcPr>
          <w:p w14:paraId="3C8666A6" w14:textId="77777777" w:rsidR="00175C1E" w:rsidRPr="001D4A8D" w:rsidRDefault="00175C1E" w:rsidP="00175C1E">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0B1CD509" w14:textId="77777777" w:rsidR="00175C1E" w:rsidRPr="001D4A8D" w:rsidRDefault="00175C1E" w:rsidP="00175C1E">
            <w:pPr>
              <w:rPr>
                <w:rFonts w:ascii="Arial" w:hAnsi="Arial" w:cs="Arial"/>
                <w:sz w:val="20"/>
                <w:szCs w:val="20"/>
              </w:rPr>
            </w:pPr>
          </w:p>
        </w:tc>
        <w:tc>
          <w:tcPr>
            <w:tcW w:w="2250" w:type="dxa"/>
            <w:tcBorders>
              <w:bottom w:val="single" w:sz="12" w:space="0" w:color="auto"/>
            </w:tcBorders>
            <w:shd w:val="clear" w:color="auto" w:fill="E7E6E6" w:themeFill="background2"/>
          </w:tcPr>
          <w:p w14:paraId="6C256EDE" w14:textId="517B1ABE" w:rsidR="00175C1E" w:rsidRPr="001D4A8D" w:rsidRDefault="00175C1E" w:rsidP="00175C1E">
            <w:pPr>
              <w:rPr>
                <w:rFonts w:ascii="Arial" w:hAnsi="Arial" w:cs="Arial"/>
                <w:sz w:val="20"/>
                <w:szCs w:val="20"/>
              </w:rPr>
            </w:pPr>
            <w:r w:rsidRPr="001D4A8D">
              <w:rPr>
                <w:rFonts w:ascii="Arial" w:hAnsi="Arial" w:cs="Arial"/>
                <w:sz w:val="20"/>
                <w:szCs w:val="20"/>
              </w:rPr>
              <w:t>Frederick</w:t>
            </w:r>
          </w:p>
        </w:tc>
        <w:tc>
          <w:tcPr>
            <w:tcW w:w="1705" w:type="dxa"/>
            <w:tcBorders>
              <w:bottom w:val="single" w:sz="12" w:space="0" w:color="auto"/>
              <w:right w:val="single" w:sz="12" w:space="0" w:color="auto"/>
            </w:tcBorders>
            <w:shd w:val="clear" w:color="auto" w:fill="E7E6E6" w:themeFill="background2"/>
          </w:tcPr>
          <w:p w14:paraId="731B281E" w14:textId="77777777" w:rsidR="00175C1E" w:rsidRPr="001D4A8D" w:rsidRDefault="00175C1E" w:rsidP="00175C1E">
            <w:pPr>
              <w:rPr>
                <w:rFonts w:ascii="Arial" w:hAnsi="Arial" w:cs="Arial"/>
                <w:sz w:val="20"/>
                <w:szCs w:val="20"/>
              </w:rPr>
            </w:pPr>
          </w:p>
        </w:tc>
      </w:tr>
      <w:tr w:rsidR="00175C1E" w:rsidRPr="001D4A8D" w14:paraId="3D637979" w14:textId="77777777" w:rsidTr="00A6213D">
        <w:trPr>
          <w:trHeight w:val="144"/>
        </w:trPr>
        <w:tc>
          <w:tcPr>
            <w:tcW w:w="1752" w:type="dxa"/>
            <w:vMerge w:val="restart"/>
            <w:tcBorders>
              <w:top w:val="single" w:sz="12" w:space="0" w:color="auto"/>
              <w:left w:val="single" w:sz="12" w:space="0" w:color="auto"/>
            </w:tcBorders>
          </w:tcPr>
          <w:p w14:paraId="0C20242D" w14:textId="7E1C35DB" w:rsidR="00175C1E" w:rsidRPr="001D4A8D" w:rsidRDefault="00175C1E" w:rsidP="00175C1E">
            <w:pPr>
              <w:rPr>
                <w:rFonts w:ascii="Arial" w:eastAsia="PMingLiU" w:hAnsi="Arial" w:cs="Arial"/>
                <w:lang w:eastAsia="zh-TW"/>
              </w:rPr>
            </w:pPr>
            <w:r w:rsidRPr="001D4A8D">
              <w:rPr>
                <w:rFonts w:ascii="Arial" w:eastAsia="PMingLiU" w:hAnsi="Arial" w:cs="Arial"/>
                <w:lang w:eastAsia="zh-TW"/>
              </w:rPr>
              <w:t>Rates</w:t>
            </w:r>
          </w:p>
        </w:tc>
        <w:tc>
          <w:tcPr>
            <w:tcW w:w="6695" w:type="dxa"/>
            <w:vMerge w:val="restart"/>
            <w:tcBorders>
              <w:top w:val="single" w:sz="12" w:space="0" w:color="auto"/>
              <w:right w:val="single" w:sz="12" w:space="0" w:color="auto"/>
            </w:tcBorders>
          </w:tcPr>
          <w:p w14:paraId="716DE39D" w14:textId="77777777" w:rsidR="00A6213D" w:rsidRPr="001D4A8D" w:rsidRDefault="00A6213D" w:rsidP="00A6213D">
            <w:pPr>
              <w:rPr>
                <w:rFonts w:ascii="Arial" w:eastAsia="PMingLiU" w:hAnsi="Arial" w:cs="Arial"/>
                <w:lang w:eastAsia="zh-TW"/>
              </w:rPr>
            </w:pPr>
            <w:r w:rsidRPr="001D4A8D">
              <w:rPr>
                <w:rFonts w:ascii="Arial" w:eastAsia="PMingLiU" w:hAnsi="Arial" w:cs="Arial"/>
                <w:lang w:eastAsia="zh-TW"/>
              </w:rPr>
              <w:t>Begins scaling and implementing the mental health services</w:t>
            </w:r>
          </w:p>
          <w:p w14:paraId="1FC2032F" w14:textId="77777777" w:rsidR="00A6213D" w:rsidRPr="001D4A8D" w:rsidRDefault="00A6213D" w:rsidP="00A6213D">
            <w:pPr>
              <w:rPr>
                <w:rFonts w:ascii="Arial" w:eastAsia="PMingLiU" w:hAnsi="Arial" w:cs="Arial"/>
                <w:lang w:eastAsia="zh-TW"/>
              </w:rPr>
            </w:pPr>
            <w:r w:rsidRPr="001D4A8D">
              <w:rPr>
                <w:rFonts w:ascii="Arial" w:eastAsia="PMingLiU" w:hAnsi="Arial" w:cs="Arial"/>
                <w:lang w:eastAsia="zh-TW"/>
              </w:rPr>
              <w:t>reimbursement rate structure recommended by the Department</w:t>
            </w:r>
          </w:p>
          <w:p w14:paraId="4818872C" w14:textId="7100F35E" w:rsidR="00175C1E" w:rsidRPr="001D4A8D" w:rsidRDefault="00A6213D" w:rsidP="00A6213D">
            <w:pPr>
              <w:rPr>
                <w:rFonts w:ascii="Arial" w:eastAsia="PMingLiU" w:hAnsi="Arial" w:cs="Arial"/>
                <w:lang w:eastAsia="zh-TW"/>
              </w:rPr>
            </w:pPr>
            <w:r w:rsidRPr="001D4A8D">
              <w:rPr>
                <w:rFonts w:ascii="Arial" w:eastAsia="PMingLiU" w:hAnsi="Arial" w:cs="Arial"/>
                <w:lang w:eastAsia="zh-TW"/>
              </w:rPr>
              <w:t>of Human Services Rates Study</w:t>
            </w:r>
          </w:p>
        </w:tc>
        <w:tc>
          <w:tcPr>
            <w:tcW w:w="1228" w:type="dxa"/>
            <w:tcBorders>
              <w:top w:val="single" w:sz="12" w:space="0" w:color="auto"/>
              <w:left w:val="single" w:sz="12" w:space="0" w:color="auto"/>
            </w:tcBorders>
            <w:shd w:val="clear" w:color="auto" w:fill="FFFFFF" w:themeFill="background1"/>
          </w:tcPr>
          <w:p w14:paraId="70067EFE" w14:textId="0500178D" w:rsidR="00175C1E" w:rsidRPr="001D4A8D" w:rsidRDefault="00A6213D" w:rsidP="00175C1E">
            <w:pPr>
              <w:rPr>
                <w:rFonts w:ascii="Arial" w:hAnsi="Arial" w:cs="Arial"/>
                <w:sz w:val="20"/>
                <w:szCs w:val="20"/>
              </w:rPr>
            </w:pPr>
            <w:r w:rsidRPr="001D4A8D">
              <w:rPr>
                <w:rFonts w:ascii="Arial" w:hAnsi="Arial" w:cs="Arial"/>
                <w:sz w:val="20"/>
                <w:szCs w:val="20"/>
              </w:rPr>
              <w:t>SF 1402</w:t>
            </w:r>
          </w:p>
        </w:tc>
        <w:tc>
          <w:tcPr>
            <w:tcW w:w="2250" w:type="dxa"/>
            <w:tcBorders>
              <w:top w:val="single" w:sz="12" w:space="0" w:color="auto"/>
            </w:tcBorders>
            <w:shd w:val="clear" w:color="auto" w:fill="FFFFFF" w:themeFill="background1"/>
          </w:tcPr>
          <w:p w14:paraId="4442D893" w14:textId="35C23834" w:rsidR="00175C1E" w:rsidRPr="001D4A8D" w:rsidRDefault="00A6213D" w:rsidP="00175C1E">
            <w:pPr>
              <w:rPr>
                <w:rFonts w:ascii="Arial" w:hAnsi="Arial" w:cs="Arial"/>
                <w:sz w:val="20"/>
                <w:szCs w:val="20"/>
              </w:rPr>
            </w:pPr>
            <w:r w:rsidRPr="001D4A8D">
              <w:rPr>
                <w:rFonts w:ascii="Arial" w:hAnsi="Arial" w:cs="Arial"/>
                <w:sz w:val="20"/>
                <w:szCs w:val="20"/>
              </w:rPr>
              <w:t>Wiklund, Mann, Lieske, Abeler, Boldon</w:t>
            </w:r>
          </w:p>
        </w:tc>
        <w:tc>
          <w:tcPr>
            <w:tcW w:w="1705" w:type="dxa"/>
            <w:tcBorders>
              <w:top w:val="single" w:sz="12" w:space="0" w:color="auto"/>
              <w:right w:val="single" w:sz="12" w:space="0" w:color="auto"/>
            </w:tcBorders>
            <w:shd w:val="clear" w:color="auto" w:fill="FFFFFF" w:themeFill="background1"/>
          </w:tcPr>
          <w:p w14:paraId="537B5472" w14:textId="7C42F56B" w:rsidR="00175C1E" w:rsidRPr="001D4A8D" w:rsidRDefault="00BD1F01" w:rsidP="00175C1E">
            <w:pPr>
              <w:rPr>
                <w:rFonts w:ascii="Arial" w:hAnsi="Arial" w:cs="Arial"/>
                <w:sz w:val="20"/>
                <w:szCs w:val="20"/>
              </w:rPr>
            </w:pPr>
            <w:r w:rsidRPr="001D4A8D">
              <w:rPr>
                <w:rFonts w:ascii="Arial" w:hAnsi="Arial" w:cs="Arial"/>
                <w:sz w:val="20"/>
                <w:szCs w:val="20"/>
              </w:rPr>
              <w:t xml:space="preserve">Passed </w:t>
            </w:r>
            <w:r w:rsidR="00A6213D" w:rsidRPr="001D4A8D">
              <w:rPr>
                <w:rFonts w:ascii="Arial" w:hAnsi="Arial" w:cs="Arial"/>
                <w:sz w:val="20"/>
                <w:szCs w:val="20"/>
              </w:rPr>
              <w:t>Health</w:t>
            </w:r>
            <w:r w:rsidRPr="001D4A8D">
              <w:rPr>
                <w:rFonts w:ascii="Arial" w:hAnsi="Arial" w:cs="Arial"/>
                <w:sz w:val="20"/>
                <w:szCs w:val="20"/>
              </w:rPr>
              <w:t xml:space="preserve"> </w:t>
            </w:r>
            <w:r w:rsidR="002340C8" w:rsidRPr="001D4A8D">
              <w:rPr>
                <w:rFonts w:ascii="Arial" w:hAnsi="Arial" w:cs="Arial"/>
                <w:sz w:val="20"/>
                <w:szCs w:val="20"/>
              </w:rPr>
              <w:t xml:space="preserve">as amended and referred </w:t>
            </w:r>
            <w:r w:rsidRPr="001D4A8D">
              <w:rPr>
                <w:rFonts w:ascii="Arial" w:hAnsi="Arial" w:cs="Arial"/>
                <w:sz w:val="20"/>
                <w:szCs w:val="20"/>
              </w:rPr>
              <w:t>to Taxes on 2/26</w:t>
            </w:r>
          </w:p>
        </w:tc>
      </w:tr>
      <w:tr w:rsidR="00175C1E" w:rsidRPr="001D4A8D" w14:paraId="6792730A" w14:textId="77777777" w:rsidTr="00A6213D">
        <w:trPr>
          <w:trHeight w:val="144"/>
        </w:trPr>
        <w:tc>
          <w:tcPr>
            <w:tcW w:w="1752" w:type="dxa"/>
            <w:vMerge/>
            <w:tcBorders>
              <w:left w:val="single" w:sz="12" w:space="0" w:color="auto"/>
            </w:tcBorders>
          </w:tcPr>
          <w:p w14:paraId="7AF3D04D" w14:textId="77777777" w:rsidR="00175C1E" w:rsidRPr="001D4A8D" w:rsidRDefault="00175C1E" w:rsidP="00175C1E">
            <w:pPr>
              <w:rPr>
                <w:rFonts w:ascii="Arial" w:eastAsia="PMingLiU" w:hAnsi="Arial" w:cs="Arial"/>
                <w:lang w:eastAsia="zh-TW"/>
              </w:rPr>
            </w:pPr>
          </w:p>
        </w:tc>
        <w:tc>
          <w:tcPr>
            <w:tcW w:w="6695" w:type="dxa"/>
            <w:vMerge/>
            <w:tcBorders>
              <w:right w:val="single" w:sz="12" w:space="0" w:color="auto"/>
            </w:tcBorders>
          </w:tcPr>
          <w:p w14:paraId="768B118E" w14:textId="77777777" w:rsidR="00175C1E" w:rsidRPr="001D4A8D" w:rsidRDefault="00175C1E" w:rsidP="00175C1E">
            <w:pPr>
              <w:rPr>
                <w:rFonts w:ascii="Arial" w:eastAsia="PMingLiU" w:hAnsi="Arial" w:cs="Arial"/>
                <w:lang w:eastAsia="zh-TW"/>
              </w:rPr>
            </w:pPr>
          </w:p>
        </w:tc>
        <w:tc>
          <w:tcPr>
            <w:tcW w:w="1228" w:type="dxa"/>
            <w:tcBorders>
              <w:left w:val="single" w:sz="12" w:space="0" w:color="auto"/>
            </w:tcBorders>
            <w:shd w:val="clear" w:color="auto" w:fill="E7E6E6" w:themeFill="background2"/>
          </w:tcPr>
          <w:p w14:paraId="502D70E4" w14:textId="20AB2C5B" w:rsidR="00175C1E" w:rsidRPr="001D4A8D" w:rsidRDefault="00A6213D" w:rsidP="00175C1E">
            <w:pPr>
              <w:rPr>
                <w:rFonts w:ascii="Arial" w:hAnsi="Arial" w:cs="Arial"/>
                <w:sz w:val="20"/>
                <w:szCs w:val="20"/>
              </w:rPr>
            </w:pPr>
            <w:r w:rsidRPr="001D4A8D">
              <w:rPr>
                <w:rFonts w:ascii="Arial" w:hAnsi="Arial" w:cs="Arial"/>
                <w:sz w:val="20"/>
                <w:szCs w:val="20"/>
              </w:rPr>
              <w:t xml:space="preserve">HF </w:t>
            </w:r>
            <w:r w:rsidR="00BD502A" w:rsidRPr="001D4A8D">
              <w:rPr>
                <w:rFonts w:ascii="Arial" w:hAnsi="Arial" w:cs="Arial"/>
                <w:sz w:val="20"/>
                <w:szCs w:val="20"/>
              </w:rPr>
              <w:t>1005</w:t>
            </w:r>
          </w:p>
        </w:tc>
        <w:tc>
          <w:tcPr>
            <w:tcW w:w="2250" w:type="dxa"/>
            <w:shd w:val="clear" w:color="auto" w:fill="E7E6E6" w:themeFill="background2"/>
          </w:tcPr>
          <w:p w14:paraId="7A50C1DA" w14:textId="42FAC03A" w:rsidR="00175C1E" w:rsidRPr="001D4A8D" w:rsidRDefault="00A6213D" w:rsidP="00175C1E">
            <w:pPr>
              <w:rPr>
                <w:rFonts w:ascii="Arial" w:hAnsi="Arial" w:cs="Arial"/>
                <w:sz w:val="20"/>
                <w:szCs w:val="20"/>
              </w:rPr>
            </w:pPr>
            <w:r w:rsidRPr="001D4A8D">
              <w:rPr>
                <w:rFonts w:ascii="Arial" w:hAnsi="Arial" w:cs="Arial"/>
                <w:sz w:val="20"/>
                <w:szCs w:val="20"/>
              </w:rPr>
              <w:t>Bierman, Baker, Noor, Reyer, Backer, Fischer, Freiberg, Elkins, Acomb, Smith, Huot, Lillie, Hollins, Jones, Liebling, Virnig, Moller, Carroll</w:t>
            </w:r>
            <w:r w:rsidR="006609EF">
              <w:rPr>
                <w:rFonts w:ascii="Arial" w:hAnsi="Arial" w:cs="Arial"/>
                <w:sz w:val="20"/>
                <w:szCs w:val="20"/>
              </w:rPr>
              <w:t>, Her, Keeler</w:t>
            </w:r>
            <w:r w:rsidR="004E03FE">
              <w:rPr>
                <w:rFonts w:ascii="Arial" w:hAnsi="Arial" w:cs="Arial"/>
                <w:sz w:val="20"/>
                <w:szCs w:val="20"/>
              </w:rPr>
              <w:t>, Xiong</w:t>
            </w:r>
          </w:p>
        </w:tc>
        <w:tc>
          <w:tcPr>
            <w:tcW w:w="1705" w:type="dxa"/>
            <w:tcBorders>
              <w:right w:val="single" w:sz="12" w:space="0" w:color="auto"/>
            </w:tcBorders>
            <w:shd w:val="clear" w:color="auto" w:fill="E7E6E6" w:themeFill="background2"/>
          </w:tcPr>
          <w:p w14:paraId="0729BF09" w14:textId="6F4135CC" w:rsidR="00175C1E" w:rsidRPr="001D4A8D" w:rsidRDefault="005C2EF8" w:rsidP="00175C1E">
            <w:pPr>
              <w:rPr>
                <w:rFonts w:ascii="Arial" w:hAnsi="Arial" w:cs="Arial"/>
                <w:sz w:val="20"/>
                <w:szCs w:val="20"/>
              </w:rPr>
            </w:pPr>
            <w:r>
              <w:rPr>
                <w:rFonts w:ascii="Arial" w:hAnsi="Arial" w:cs="Arial"/>
                <w:sz w:val="20"/>
                <w:szCs w:val="20"/>
              </w:rPr>
              <w:t>Laid over 3/4 in Human Services</w:t>
            </w:r>
          </w:p>
        </w:tc>
      </w:tr>
      <w:tr w:rsidR="00A6213D" w:rsidRPr="001D4A8D" w14:paraId="5D69FFA7" w14:textId="77777777" w:rsidTr="00A6213D">
        <w:trPr>
          <w:trHeight w:val="144"/>
        </w:trPr>
        <w:tc>
          <w:tcPr>
            <w:tcW w:w="1752" w:type="dxa"/>
            <w:vMerge w:val="restart"/>
            <w:tcBorders>
              <w:top w:val="single" w:sz="12" w:space="0" w:color="auto"/>
              <w:left w:val="single" w:sz="12" w:space="0" w:color="auto"/>
            </w:tcBorders>
          </w:tcPr>
          <w:p w14:paraId="431BD751" w14:textId="77777777" w:rsidR="00A6213D" w:rsidRPr="001D4A8D" w:rsidRDefault="00A6213D" w:rsidP="00207894">
            <w:pPr>
              <w:rPr>
                <w:rFonts w:ascii="Arial" w:hAnsi="Arial" w:cs="Arial"/>
              </w:rPr>
            </w:pPr>
            <w:r w:rsidRPr="001D4A8D">
              <w:rPr>
                <w:rFonts w:ascii="Arial" w:eastAsia="PMingLiU" w:hAnsi="Arial" w:cs="Arial"/>
                <w:lang w:eastAsia="zh-TW"/>
              </w:rPr>
              <w:t>Regulatory Relief</w:t>
            </w:r>
          </w:p>
        </w:tc>
        <w:tc>
          <w:tcPr>
            <w:tcW w:w="6695" w:type="dxa"/>
            <w:vMerge w:val="restart"/>
            <w:tcBorders>
              <w:top w:val="single" w:sz="12" w:space="0" w:color="auto"/>
              <w:right w:val="single" w:sz="12" w:space="0" w:color="auto"/>
            </w:tcBorders>
          </w:tcPr>
          <w:p w14:paraId="1E20053C" w14:textId="77777777" w:rsidR="00A6213D" w:rsidRPr="001D4A8D" w:rsidRDefault="00A6213D" w:rsidP="00207894">
            <w:pPr>
              <w:rPr>
                <w:rFonts w:ascii="Arial" w:hAnsi="Arial" w:cs="Arial"/>
              </w:rPr>
            </w:pPr>
            <w:r w:rsidRPr="001D4A8D">
              <w:rPr>
                <w:rFonts w:ascii="Arial" w:hAnsi="Arial" w:cs="Arial"/>
              </w:rPr>
              <w:t>Clarifies, streamlines, and adds flexibility to current mental</w:t>
            </w:r>
          </w:p>
          <w:p w14:paraId="4D759B39" w14:textId="77777777" w:rsidR="00A6213D" w:rsidRPr="001D4A8D" w:rsidRDefault="00A6213D" w:rsidP="00207894">
            <w:pPr>
              <w:rPr>
                <w:rFonts w:ascii="Arial" w:hAnsi="Arial" w:cs="Arial"/>
              </w:rPr>
            </w:pPr>
            <w:r w:rsidRPr="001D4A8D">
              <w:rPr>
                <w:rFonts w:ascii="Arial" w:hAnsi="Arial" w:cs="Arial"/>
              </w:rPr>
              <w:t>health staff regulatory requirements that are either overly</w:t>
            </w:r>
          </w:p>
          <w:p w14:paraId="33D0BE09" w14:textId="77777777" w:rsidR="00A6213D" w:rsidRPr="001D4A8D" w:rsidRDefault="00A6213D" w:rsidP="00207894">
            <w:pPr>
              <w:rPr>
                <w:rFonts w:ascii="Arial" w:hAnsi="Arial" w:cs="Arial"/>
              </w:rPr>
            </w:pPr>
            <w:r w:rsidRPr="001D4A8D">
              <w:rPr>
                <w:rFonts w:ascii="Arial" w:hAnsi="Arial" w:cs="Arial"/>
              </w:rPr>
              <w:t>prescriptive or outdated</w:t>
            </w:r>
          </w:p>
        </w:tc>
        <w:tc>
          <w:tcPr>
            <w:tcW w:w="1228" w:type="dxa"/>
            <w:tcBorders>
              <w:top w:val="single" w:sz="12" w:space="0" w:color="auto"/>
              <w:left w:val="single" w:sz="12" w:space="0" w:color="auto"/>
            </w:tcBorders>
          </w:tcPr>
          <w:p w14:paraId="6A17416C" w14:textId="77777777" w:rsidR="00A6213D" w:rsidRPr="001D4A8D" w:rsidRDefault="00A6213D" w:rsidP="00207894">
            <w:pPr>
              <w:rPr>
                <w:rFonts w:ascii="Arial" w:hAnsi="Arial" w:cs="Arial"/>
                <w:sz w:val="20"/>
                <w:szCs w:val="20"/>
              </w:rPr>
            </w:pPr>
            <w:r w:rsidRPr="001D4A8D">
              <w:rPr>
                <w:rFonts w:ascii="Arial" w:hAnsi="Arial" w:cs="Arial"/>
                <w:sz w:val="20"/>
                <w:szCs w:val="20"/>
              </w:rPr>
              <w:t>SF 477</w:t>
            </w:r>
          </w:p>
        </w:tc>
        <w:tc>
          <w:tcPr>
            <w:tcW w:w="2250" w:type="dxa"/>
            <w:tcBorders>
              <w:top w:val="single" w:sz="12" w:space="0" w:color="auto"/>
            </w:tcBorders>
          </w:tcPr>
          <w:p w14:paraId="1935CA7E" w14:textId="2996B756" w:rsidR="00A6213D" w:rsidRPr="001D4A8D" w:rsidRDefault="00A6213D" w:rsidP="00207894">
            <w:pPr>
              <w:rPr>
                <w:rFonts w:ascii="Arial" w:hAnsi="Arial" w:cs="Arial"/>
                <w:sz w:val="20"/>
                <w:szCs w:val="20"/>
              </w:rPr>
            </w:pPr>
            <w:r w:rsidRPr="001D4A8D">
              <w:rPr>
                <w:rFonts w:ascii="Arial" w:hAnsi="Arial" w:cs="Arial"/>
                <w:sz w:val="20"/>
                <w:szCs w:val="20"/>
              </w:rPr>
              <w:t>Boldon</w:t>
            </w:r>
            <w:r w:rsidR="000C6302" w:rsidRPr="001D4A8D">
              <w:rPr>
                <w:rFonts w:ascii="Arial" w:hAnsi="Arial" w:cs="Arial"/>
                <w:sz w:val="20"/>
                <w:szCs w:val="20"/>
              </w:rPr>
              <w:t>, Mann, Utke, Abeler, Draheim</w:t>
            </w:r>
          </w:p>
        </w:tc>
        <w:tc>
          <w:tcPr>
            <w:tcW w:w="1705" w:type="dxa"/>
            <w:tcBorders>
              <w:top w:val="single" w:sz="12" w:space="0" w:color="auto"/>
              <w:right w:val="single" w:sz="12" w:space="0" w:color="auto"/>
            </w:tcBorders>
          </w:tcPr>
          <w:p w14:paraId="3FA5F9B9" w14:textId="3FD19EAA" w:rsidR="00A6213D" w:rsidRPr="001D4A8D" w:rsidRDefault="00BD1F01" w:rsidP="00207894">
            <w:pPr>
              <w:rPr>
                <w:rFonts w:ascii="Arial" w:hAnsi="Arial" w:cs="Arial"/>
                <w:sz w:val="20"/>
                <w:szCs w:val="20"/>
              </w:rPr>
            </w:pPr>
            <w:r w:rsidRPr="001D4A8D">
              <w:rPr>
                <w:rFonts w:ascii="Arial" w:hAnsi="Arial" w:cs="Arial"/>
                <w:sz w:val="20"/>
                <w:szCs w:val="20"/>
              </w:rPr>
              <w:t xml:space="preserve">Referred to </w:t>
            </w:r>
            <w:r w:rsidR="000C6302" w:rsidRPr="001D4A8D">
              <w:rPr>
                <w:rFonts w:ascii="Arial" w:hAnsi="Arial" w:cs="Arial"/>
                <w:sz w:val="20"/>
                <w:szCs w:val="20"/>
              </w:rPr>
              <w:t>Health</w:t>
            </w:r>
            <w:r w:rsidR="002340C8" w:rsidRPr="001D4A8D">
              <w:rPr>
                <w:rFonts w:ascii="Arial" w:hAnsi="Arial" w:cs="Arial"/>
                <w:sz w:val="20"/>
                <w:szCs w:val="20"/>
              </w:rPr>
              <w:t xml:space="preserve"> and laid over on 2/26</w:t>
            </w:r>
          </w:p>
        </w:tc>
      </w:tr>
      <w:tr w:rsidR="00A6213D" w:rsidRPr="001D4A8D" w14:paraId="1F27A89D" w14:textId="77777777" w:rsidTr="00A6213D">
        <w:trPr>
          <w:trHeight w:val="144"/>
        </w:trPr>
        <w:tc>
          <w:tcPr>
            <w:tcW w:w="1752" w:type="dxa"/>
            <w:vMerge/>
            <w:tcBorders>
              <w:left w:val="single" w:sz="12" w:space="0" w:color="auto"/>
              <w:bottom w:val="single" w:sz="12" w:space="0" w:color="auto"/>
            </w:tcBorders>
          </w:tcPr>
          <w:p w14:paraId="7B08888C" w14:textId="77777777" w:rsidR="00A6213D" w:rsidRPr="001D4A8D" w:rsidRDefault="00A6213D" w:rsidP="00175C1E">
            <w:pPr>
              <w:rPr>
                <w:rFonts w:ascii="Arial" w:eastAsia="PMingLiU" w:hAnsi="Arial" w:cs="Arial"/>
                <w:lang w:eastAsia="zh-TW"/>
              </w:rPr>
            </w:pPr>
          </w:p>
        </w:tc>
        <w:tc>
          <w:tcPr>
            <w:tcW w:w="6695" w:type="dxa"/>
            <w:vMerge/>
            <w:tcBorders>
              <w:bottom w:val="single" w:sz="12" w:space="0" w:color="auto"/>
              <w:right w:val="single" w:sz="12" w:space="0" w:color="auto"/>
            </w:tcBorders>
          </w:tcPr>
          <w:p w14:paraId="116B5F18" w14:textId="77777777" w:rsidR="00A6213D" w:rsidRPr="001D4A8D" w:rsidRDefault="00A6213D" w:rsidP="00175C1E">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5F2BD57D" w14:textId="08F3EBDA" w:rsidR="00A6213D" w:rsidRPr="001D4A8D" w:rsidRDefault="00BD1F01" w:rsidP="00175C1E">
            <w:pPr>
              <w:rPr>
                <w:rFonts w:ascii="Arial" w:hAnsi="Arial" w:cs="Arial"/>
                <w:sz w:val="20"/>
                <w:szCs w:val="20"/>
              </w:rPr>
            </w:pPr>
            <w:r w:rsidRPr="001D4A8D">
              <w:rPr>
                <w:rFonts w:ascii="Arial" w:hAnsi="Arial" w:cs="Arial"/>
                <w:sz w:val="20"/>
                <w:szCs w:val="20"/>
              </w:rPr>
              <w:t>HF 98</w:t>
            </w:r>
          </w:p>
        </w:tc>
        <w:tc>
          <w:tcPr>
            <w:tcW w:w="2250" w:type="dxa"/>
            <w:tcBorders>
              <w:bottom w:val="single" w:sz="12" w:space="0" w:color="auto"/>
            </w:tcBorders>
            <w:shd w:val="clear" w:color="auto" w:fill="E7E6E6" w:themeFill="background2"/>
          </w:tcPr>
          <w:p w14:paraId="2FA9F7F9" w14:textId="27CDDA9B" w:rsidR="00A6213D" w:rsidRPr="001D4A8D" w:rsidRDefault="00F115A0" w:rsidP="00175C1E">
            <w:pPr>
              <w:rPr>
                <w:rFonts w:ascii="Arial" w:hAnsi="Arial" w:cs="Arial"/>
                <w:sz w:val="20"/>
                <w:szCs w:val="20"/>
              </w:rPr>
            </w:pPr>
            <w:r w:rsidRPr="001D4A8D">
              <w:rPr>
                <w:rFonts w:ascii="Arial" w:hAnsi="Arial" w:cs="Arial"/>
                <w:sz w:val="20"/>
                <w:szCs w:val="20"/>
              </w:rPr>
              <w:t>Fischer, Gillman, Baker, Frederick, Schomacker. Noor. Curran. Zeleznikar. Virnig. Moller</w:t>
            </w:r>
          </w:p>
        </w:tc>
        <w:tc>
          <w:tcPr>
            <w:tcW w:w="1705" w:type="dxa"/>
            <w:tcBorders>
              <w:bottom w:val="single" w:sz="12" w:space="0" w:color="auto"/>
              <w:right w:val="single" w:sz="12" w:space="0" w:color="auto"/>
            </w:tcBorders>
            <w:shd w:val="clear" w:color="auto" w:fill="E7E6E6" w:themeFill="background2"/>
          </w:tcPr>
          <w:p w14:paraId="269AE3F3" w14:textId="67C0B5EC" w:rsidR="00A6213D" w:rsidRPr="001D4A8D" w:rsidRDefault="00BD1F01" w:rsidP="00175C1E">
            <w:pPr>
              <w:rPr>
                <w:rFonts w:ascii="Arial" w:hAnsi="Arial" w:cs="Arial"/>
                <w:sz w:val="20"/>
                <w:szCs w:val="20"/>
              </w:rPr>
            </w:pPr>
            <w:r w:rsidRPr="001D4A8D">
              <w:rPr>
                <w:rFonts w:ascii="Arial" w:hAnsi="Arial" w:cs="Arial"/>
                <w:sz w:val="20"/>
                <w:szCs w:val="20"/>
              </w:rPr>
              <w:t>Laid over in Human Services on 2/20</w:t>
            </w:r>
          </w:p>
        </w:tc>
      </w:tr>
      <w:tr w:rsidR="000C6302" w:rsidRPr="001D4A8D" w14:paraId="0FC904AD" w14:textId="77777777" w:rsidTr="0063508D">
        <w:trPr>
          <w:trHeight w:val="144"/>
        </w:trPr>
        <w:tc>
          <w:tcPr>
            <w:tcW w:w="1752" w:type="dxa"/>
            <w:vMerge w:val="restart"/>
            <w:tcBorders>
              <w:top w:val="single" w:sz="12" w:space="0" w:color="auto"/>
              <w:left w:val="single" w:sz="12" w:space="0" w:color="auto"/>
            </w:tcBorders>
          </w:tcPr>
          <w:p w14:paraId="302B28B3" w14:textId="36CD0732" w:rsidR="000C6302" w:rsidRPr="001D4A8D" w:rsidRDefault="000C6302" w:rsidP="00175C1E">
            <w:pPr>
              <w:rPr>
                <w:rFonts w:ascii="Arial" w:eastAsia="PMingLiU" w:hAnsi="Arial" w:cs="Arial"/>
                <w:lang w:eastAsia="zh-TW"/>
              </w:rPr>
            </w:pPr>
            <w:r w:rsidRPr="001D4A8D">
              <w:rPr>
                <w:rFonts w:ascii="Arial" w:eastAsia="PMingLiU" w:hAnsi="Arial" w:cs="Arial"/>
                <w:lang w:eastAsia="zh-TW"/>
              </w:rPr>
              <w:lastRenderedPageBreak/>
              <w:t>Solutions to Boarding</w:t>
            </w:r>
          </w:p>
        </w:tc>
        <w:tc>
          <w:tcPr>
            <w:tcW w:w="6695" w:type="dxa"/>
            <w:vMerge w:val="restart"/>
            <w:tcBorders>
              <w:top w:val="single" w:sz="12" w:space="0" w:color="auto"/>
              <w:right w:val="single" w:sz="12" w:space="0" w:color="auto"/>
            </w:tcBorders>
          </w:tcPr>
          <w:p w14:paraId="7299E672" w14:textId="77777777" w:rsidR="000C6302" w:rsidRPr="001D4A8D" w:rsidRDefault="000C6302" w:rsidP="00175C1E">
            <w:pPr>
              <w:rPr>
                <w:rFonts w:ascii="Arial" w:eastAsia="PMingLiU" w:hAnsi="Arial" w:cs="Arial"/>
                <w:lang w:eastAsia="zh-TW"/>
              </w:rPr>
            </w:pPr>
            <w:r w:rsidRPr="001D4A8D">
              <w:rPr>
                <w:rFonts w:ascii="Arial" w:eastAsia="PMingLiU" w:hAnsi="Arial" w:cs="Arial"/>
                <w:lang w:eastAsia="zh-TW"/>
              </w:rPr>
              <w:t>Implements and funds evidence-based and informed best</w:t>
            </w:r>
          </w:p>
          <w:p w14:paraId="152AA917" w14:textId="77777777" w:rsidR="000C6302" w:rsidRPr="001D4A8D" w:rsidRDefault="000C6302" w:rsidP="00175C1E">
            <w:pPr>
              <w:rPr>
                <w:rFonts w:ascii="Arial" w:eastAsia="PMingLiU" w:hAnsi="Arial" w:cs="Arial"/>
                <w:lang w:eastAsia="zh-TW"/>
              </w:rPr>
            </w:pPr>
            <w:r w:rsidRPr="001D4A8D">
              <w:rPr>
                <w:rFonts w:ascii="Arial" w:eastAsia="PMingLiU" w:hAnsi="Arial" w:cs="Arial"/>
                <w:lang w:eastAsia="zh-TW"/>
              </w:rPr>
              <w:t>practices to solve the crisis of children boarding in hospitals,</w:t>
            </w:r>
          </w:p>
          <w:p w14:paraId="20A58CA2" w14:textId="77777777" w:rsidR="000C6302" w:rsidRPr="001D4A8D" w:rsidRDefault="000C6302" w:rsidP="00175C1E">
            <w:pPr>
              <w:rPr>
                <w:rFonts w:ascii="Arial" w:eastAsia="PMingLiU" w:hAnsi="Arial" w:cs="Arial"/>
                <w:lang w:eastAsia="zh-TW"/>
              </w:rPr>
            </w:pPr>
            <w:r w:rsidRPr="001D4A8D">
              <w:rPr>
                <w:rFonts w:ascii="Arial" w:eastAsia="PMingLiU" w:hAnsi="Arial" w:cs="Arial"/>
                <w:lang w:eastAsia="zh-TW"/>
              </w:rPr>
              <w:t>detention settings and with counties when appropriate services</w:t>
            </w:r>
          </w:p>
          <w:p w14:paraId="02C5292E" w14:textId="58216C66" w:rsidR="000C6302" w:rsidRPr="001D4A8D" w:rsidRDefault="000C6302" w:rsidP="00175C1E">
            <w:pPr>
              <w:rPr>
                <w:rFonts w:ascii="Arial" w:eastAsia="PMingLiU" w:hAnsi="Arial" w:cs="Arial"/>
                <w:lang w:eastAsia="zh-TW"/>
              </w:rPr>
            </w:pPr>
            <w:r w:rsidRPr="001D4A8D">
              <w:rPr>
                <w:rFonts w:ascii="Arial" w:eastAsia="PMingLiU" w:hAnsi="Arial" w:cs="Arial"/>
                <w:lang w:eastAsia="zh-TW"/>
              </w:rPr>
              <w:t>are unavailable</w:t>
            </w:r>
            <w:r w:rsidR="00A744EA">
              <w:rPr>
                <w:rFonts w:ascii="Arial" w:eastAsia="PMingLiU" w:hAnsi="Arial" w:cs="Arial"/>
                <w:lang w:eastAsia="zh-TW"/>
              </w:rPr>
              <w:t>. Increases rates for the “third path” so families don’t need to go through child protection for residential care.</w:t>
            </w:r>
          </w:p>
        </w:tc>
        <w:tc>
          <w:tcPr>
            <w:tcW w:w="1228" w:type="dxa"/>
            <w:tcBorders>
              <w:top w:val="single" w:sz="12" w:space="0" w:color="auto"/>
              <w:left w:val="single" w:sz="12" w:space="0" w:color="auto"/>
              <w:bottom w:val="single" w:sz="12" w:space="0" w:color="auto"/>
            </w:tcBorders>
            <w:shd w:val="clear" w:color="auto" w:fill="FFFFFF" w:themeFill="background1"/>
          </w:tcPr>
          <w:p w14:paraId="43D2BC7D" w14:textId="77777777" w:rsidR="000C6302" w:rsidRPr="001D4A8D" w:rsidRDefault="000C6302" w:rsidP="00175C1E">
            <w:pPr>
              <w:rPr>
                <w:rFonts w:ascii="Arial" w:hAnsi="Arial" w:cs="Arial"/>
                <w:sz w:val="20"/>
                <w:szCs w:val="20"/>
              </w:rPr>
            </w:pPr>
            <w:r w:rsidRPr="001D4A8D">
              <w:rPr>
                <w:rFonts w:ascii="Arial" w:hAnsi="Arial" w:cs="Arial"/>
                <w:sz w:val="20"/>
                <w:szCs w:val="20"/>
              </w:rPr>
              <w:t>SF 1561</w:t>
            </w:r>
          </w:p>
          <w:p w14:paraId="60C98E7E" w14:textId="77777777" w:rsidR="000C6302" w:rsidRPr="001D4A8D" w:rsidRDefault="000C6302" w:rsidP="00175C1E">
            <w:pPr>
              <w:rPr>
                <w:rFonts w:ascii="Arial" w:hAnsi="Arial" w:cs="Arial"/>
                <w:sz w:val="20"/>
                <w:szCs w:val="20"/>
              </w:rPr>
            </w:pPr>
          </w:p>
        </w:tc>
        <w:tc>
          <w:tcPr>
            <w:tcW w:w="2250" w:type="dxa"/>
            <w:tcBorders>
              <w:top w:val="single" w:sz="12" w:space="0" w:color="auto"/>
              <w:bottom w:val="single" w:sz="12" w:space="0" w:color="auto"/>
            </w:tcBorders>
            <w:shd w:val="clear" w:color="auto" w:fill="FFFFFF" w:themeFill="background1"/>
          </w:tcPr>
          <w:p w14:paraId="2F6C6E3D" w14:textId="2453165D" w:rsidR="000C6302" w:rsidRPr="001D4A8D" w:rsidRDefault="000C6302" w:rsidP="00175C1E">
            <w:pPr>
              <w:rPr>
                <w:rFonts w:ascii="Arial" w:hAnsi="Arial" w:cs="Arial"/>
                <w:sz w:val="20"/>
                <w:szCs w:val="20"/>
              </w:rPr>
            </w:pPr>
            <w:r w:rsidRPr="001D4A8D">
              <w:rPr>
                <w:rFonts w:ascii="Arial" w:hAnsi="Arial" w:cs="Arial"/>
                <w:sz w:val="20"/>
                <w:szCs w:val="20"/>
              </w:rPr>
              <w:t>Mann, Utke, Boldon,</w:t>
            </w:r>
            <w:r w:rsidR="00BD1F01" w:rsidRPr="001D4A8D">
              <w:rPr>
                <w:rFonts w:ascii="Arial" w:hAnsi="Arial" w:cs="Arial"/>
                <w:sz w:val="20"/>
                <w:szCs w:val="20"/>
              </w:rPr>
              <w:t xml:space="preserve"> Abeler</w:t>
            </w:r>
            <w:r w:rsidR="006609EF">
              <w:rPr>
                <w:rFonts w:ascii="Arial" w:hAnsi="Arial" w:cs="Arial"/>
                <w:sz w:val="20"/>
                <w:szCs w:val="20"/>
              </w:rPr>
              <w:t>, McEwan</w:t>
            </w:r>
          </w:p>
        </w:tc>
        <w:tc>
          <w:tcPr>
            <w:tcW w:w="1705" w:type="dxa"/>
            <w:tcBorders>
              <w:top w:val="single" w:sz="12" w:space="0" w:color="auto"/>
              <w:bottom w:val="single" w:sz="12" w:space="0" w:color="auto"/>
              <w:right w:val="single" w:sz="12" w:space="0" w:color="auto"/>
            </w:tcBorders>
            <w:shd w:val="clear" w:color="auto" w:fill="FFFFFF" w:themeFill="background1"/>
          </w:tcPr>
          <w:p w14:paraId="6DCDEB4E" w14:textId="4E8AD578" w:rsidR="000C6302" w:rsidRPr="001D4A8D" w:rsidRDefault="009F7D54" w:rsidP="00175C1E">
            <w:pPr>
              <w:rPr>
                <w:rFonts w:ascii="Arial" w:hAnsi="Arial" w:cs="Arial"/>
                <w:sz w:val="20"/>
                <w:szCs w:val="20"/>
              </w:rPr>
            </w:pPr>
            <w:r w:rsidRPr="001D4A8D">
              <w:rPr>
                <w:rFonts w:ascii="Arial" w:hAnsi="Arial" w:cs="Arial"/>
                <w:sz w:val="20"/>
                <w:szCs w:val="20"/>
              </w:rPr>
              <w:t>Laid over in</w:t>
            </w:r>
            <w:r w:rsidR="00BD1F01" w:rsidRPr="001D4A8D">
              <w:rPr>
                <w:rFonts w:ascii="Arial" w:hAnsi="Arial" w:cs="Arial"/>
                <w:sz w:val="20"/>
                <w:szCs w:val="20"/>
              </w:rPr>
              <w:t xml:space="preserve"> </w:t>
            </w:r>
            <w:r w:rsidR="000C6302" w:rsidRPr="001D4A8D">
              <w:rPr>
                <w:rFonts w:ascii="Arial" w:hAnsi="Arial" w:cs="Arial"/>
                <w:sz w:val="20"/>
                <w:szCs w:val="20"/>
              </w:rPr>
              <w:t>Health</w:t>
            </w:r>
            <w:r w:rsidRPr="001D4A8D">
              <w:rPr>
                <w:rFonts w:ascii="Arial" w:hAnsi="Arial" w:cs="Arial"/>
                <w:sz w:val="20"/>
                <w:szCs w:val="20"/>
              </w:rPr>
              <w:t xml:space="preserve"> on 2/26</w:t>
            </w:r>
          </w:p>
        </w:tc>
      </w:tr>
      <w:tr w:rsidR="000C6302" w:rsidRPr="001D4A8D" w14:paraId="7E0A3EDE" w14:textId="77777777" w:rsidTr="0063508D">
        <w:trPr>
          <w:trHeight w:val="144"/>
        </w:trPr>
        <w:tc>
          <w:tcPr>
            <w:tcW w:w="1752" w:type="dxa"/>
            <w:vMerge/>
            <w:tcBorders>
              <w:left w:val="single" w:sz="12" w:space="0" w:color="auto"/>
            </w:tcBorders>
          </w:tcPr>
          <w:p w14:paraId="306CA2ED" w14:textId="77777777" w:rsidR="000C6302" w:rsidRPr="001D4A8D" w:rsidRDefault="000C6302" w:rsidP="000C6302">
            <w:pPr>
              <w:rPr>
                <w:rFonts w:ascii="Arial" w:hAnsi="Arial" w:cs="Arial"/>
              </w:rPr>
            </w:pPr>
          </w:p>
        </w:tc>
        <w:tc>
          <w:tcPr>
            <w:tcW w:w="6695" w:type="dxa"/>
            <w:vMerge/>
            <w:tcBorders>
              <w:right w:val="single" w:sz="12" w:space="0" w:color="auto"/>
            </w:tcBorders>
          </w:tcPr>
          <w:p w14:paraId="52B318EA" w14:textId="77777777" w:rsidR="000C6302" w:rsidRPr="001D4A8D" w:rsidRDefault="000C6302" w:rsidP="000C6302">
            <w:pPr>
              <w:rPr>
                <w:rFonts w:ascii="Arial" w:eastAsia="PMingLiU" w:hAnsi="Arial" w:cs="Arial"/>
                <w:lang w:eastAsia="zh-TW"/>
              </w:rPr>
            </w:pPr>
          </w:p>
        </w:tc>
        <w:tc>
          <w:tcPr>
            <w:tcW w:w="1228" w:type="dxa"/>
            <w:tcBorders>
              <w:top w:val="single" w:sz="12" w:space="0" w:color="auto"/>
              <w:left w:val="single" w:sz="12" w:space="0" w:color="auto"/>
            </w:tcBorders>
            <w:shd w:val="clear" w:color="auto" w:fill="E7E6E6" w:themeFill="background2"/>
          </w:tcPr>
          <w:p w14:paraId="3BCFB967" w14:textId="1D38E3D8" w:rsidR="000C6302" w:rsidRPr="001D4A8D" w:rsidRDefault="000C6302" w:rsidP="000C6302">
            <w:pPr>
              <w:rPr>
                <w:rFonts w:ascii="Arial" w:hAnsi="Arial" w:cs="Arial"/>
                <w:sz w:val="20"/>
                <w:szCs w:val="20"/>
              </w:rPr>
            </w:pPr>
            <w:r w:rsidRPr="001D4A8D">
              <w:rPr>
                <w:rFonts w:ascii="Arial" w:hAnsi="Arial" w:cs="Arial"/>
                <w:sz w:val="20"/>
                <w:szCs w:val="20"/>
              </w:rPr>
              <w:t>HF 671</w:t>
            </w:r>
          </w:p>
        </w:tc>
        <w:tc>
          <w:tcPr>
            <w:tcW w:w="2250" w:type="dxa"/>
            <w:tcBorders>
              <w:top w:val="single" w:sz="12" w:space="0" w:color="auto"/>
            </w:tcBorders>
            <w:shd w:val="clear" w:color="auto" w:fill="E7E6E6" w:themeFill="background2"/>
          </w:tcPr>
          <w:p w14:paraId="2B086994" w14:textId="2A8998FB" w:rsidR="000C6302" w:rsidRPr="001D4A8D" w:rsidRDefault="000C6302" w:rsidP="000C6302">
            <w:pPr>
              <w:rPr>
                <w:rFonts w:ascii="Arial" w:hAnsi="Arial" w:cs="Arial"/>
                <w:sz w:val="20"/>
                <w:szCs w:val="20"/>
              </w:rPr>
            </w:pPr>
            <w:r w:rsidRPr="001D4A8D">
              <w:rPr>
                <w:rFonts w:ascii="Arial" w:hAnsi="Arial" w:cs="Arial"/>
                <w:sz w:val="20"/>
                <w:szCs w:val="20"/>
              </w:rPr>
              <w:t>Hicks, Curran, Howard, Jones, Fischer, Virnig</w:t>
            </w:r>
          </w:p>
        </w:tc>
        <w:tc>
          <w:tcPr>
            <w:tcW w:w="1705" w:type="dxa"/>
            <w:tcBorders>
              <w:top w:val="single" w:sz="12" w:space="0" w:color="auto"/>
              <w:right w:val="single" w:sz="12" w:space="0" w:color="auto"/>
            </w:tcBorders>
            <w:shd w:val="clear" w:color="auto" w:fill="E7E6E6" w:themeFill="background2"/>
          </w:tcPr>
          <w:p w14:paraId="7CC71F57" w14:textId="4ABA9D94" w:rsidR="000C6302" w:rsidRPr="001D4A8D" w:rsidRDefault="00BD1F01" w:rsidP="000C6302">
            <w:pPr>
              <w:rPr>
                <w:rFonts w:ascii="Arial" w:hAnsi="Arial" w:cs="Arial"/>
                <w:sz w:val="20"/>
                <w:szCs w:val="20"/>
              </w:rPr>
            </w:pPr>
            <w:r w:rsidRPr="001D4A8D">
              <w:rPr>
                <w:rFonts w:ascii="Arial" w:hAnsi="Arial" w:cs="Arial"/>
                <w:sz w:val="20"/>
                <w:szCs w:val="20"/>
              </w:rPr>
              <w:t xml:space="preserve">Referred to </w:t>
            </w:r>
            <w:r w:rsidR="000C6302" w:rsidRPr="001D4A8D">
              <w:rPr>
                <w:rFonts w:ascii="Arial" w:hAnsi="Arial" w:cs="Arial"/>
                <w:sz w:val="20"/>
                <w:szCs w:val="20"/>
              </w:rPr>
              <w:t>Human Services</w:t>
            </w:r>
          </w:p>
        </w:tc>
      </w:tr>
      <w:tr w:rsidR="000C6302" w:rsidRPr="001D4A8D" w14:paraId="3C695FDF" w14:textId="77777777" w:rsidTr="00A6213D">
        <w:trPr>
          <w:trHeight w:val="144"/>
        </w:trPr>
        <w:tc>
          <w:tcPr>
            <w:tcW w:w="1752" w:type="dxa"/>
            <w:vMerge w:val="restart"/>
            <w:tcBorders>
              <w:top w:val="single" w:sz="12" w:space="0" w:color="auto"/>
              <w:left w:val="single" w:sz="12" w:space="0" w:color="auto"/>
            </w:tcBorders>
          </w:tcPr>
          <w:p w14:paraId="24C4EEA1" w14:textId="0EFCDB1D" w:rsidR="000C6302" w:rsidRPr="001D4A8D" w:rsidRDefault="000C6302" w:rsidP="000C6302">
            <w:pPr>
              <w:rPr>
                <w:rFonts w:ascii="Arial" w:eastAsia="PMingLiU" w:hAnsi="Arial" w:cs="Arial"/>
                <w:lang w:eastAsia="zh-TW"/>
              </w:rPr>
            </w:pPr>
            <w:r w:rsidRPr="001D4A8D">
              <w:rPr>
                <w:rFonts w:ascii="Arial" w:hAnsi="Arial" w:cs="Arial"/>
              </w:rPr>
              <w:t>SUD</w:t>
            </w:r>
          </w:p>
        </w:tc>
        <w:tc>
          <w:tcPr>
            <w:tcW w:w="6695" w:type="dxa"/>
            <w:vMerge w:val="restart"/>
            <w:tcBorders>
              <w:top w:val="single" w:sz="12" w:space="0" w:color="auto"/>
              <w:right w:val="single" w:sz="12" w:space="0" w:color="auto"/>
            </w:tcBorders>
          </w:tcPr>
          <w:p w14:paraId="15E369C0" w14:textId="6D795AC2" w:rsidR="000C6302" w:rsidRPr="001D4A8D" w:rsidRDefault="000C6302" w:rsidP="000C6302">
            <w:pPr>
              <w:rPr>
                <w:rFonts w:ascii="Arial" w:eastAsia="PMingLiU" w:hAnsi="Arial" w:cs="Arial"/>
                <w:lang w:eastAsia="zh-TW"/>
              </w:rPr>
            </w:pPr>
            <w:r w:rsidRPr="001D4A8D">
              <w:rPr>
                <w:rFonts w:ascii="Arial" w:eastAsia="PMingLiU" w:hAnsi="Arial" w:cs="Arial"/>
                <w:lang w:eastAsia="zh-TW"/>
              </w:rPr>
              <w:t xml:space="preserve">Increases rates, pays for qualifying DWI fees with BHF, regulations </w:t>
            </w:r>
          </w:p>
          <w:p w14:paraId="32034FF6" w14:textId="406BCC63" w:rsidR="000C6302" w:rsidRPr="001D4A8D" w:rsidRDefault="000C6302" w:rsidP="000C6302">
            <w:pPr>
              <w:rPr>
                <w:rFonts w:ascii="Arial" w:eastAsia="PMingLiU" w:hAnsi="Arial" w:cs="Arial"/>
                <w:lang w:eastAsia="zh-TW"/>
              </w:rPr>
            </w:pPr>
          </w:p>
        </w:tc>
        <w:tc>
          <w:tcPr>
            <w:tcW w:w="1228" w:type="dxa"/>
            <w:tcBorders>
              <w:top w:val="single" w:sz="12" w:space="0" w:color="auto"/>
              <w:left w:val="single" w:sz="12" w:space="0" w:color="auto"/>
            </w:tcBorders>
            <w:shd w:val="clear" w:color="auto" w:fill="FFFFFF" w:themeFill="background1"/>
          </w:tcPr>
          <w:p w14:paraId="6EF88041" w14:textId="77777777" w:rsidR="000C6302" w:rsidRPr="001D4A8D" w:rsidRDefault="00BD1F01" w:rsidP="000C6302">
            <w:pPr>
              <w:rPr>
                <w:rFonts w:ascii="Arial" w:hAnsi="Arial" w:cs="Arial"/>
                <w:sz w:val="20"/>
                <w:szCs w:val="20"/>
              </w:rPr>
            </w:pPr>
            <w:r w:rsidRPr="001D4A8D">
              <w:rPr>
                <w:rFonts w:ascii="Arial" w:hAnsi="Arial" w:cs="Arial"/>
                <w:sz w:val="20"/>
                <w:szCs w:val="20"/>
              </w:rPr>
              <w:t>SF1826</w:t>
            </w:r>
          </w:p>
          <w:p w14:paraId="2D37F844" w14:textId="77777777" w:rsidR="00BD1F01" w:rsidRPr="001D4A8D" w:rsidRDefault="00BD1F01" w:rsidP="000C6302">
            <w:pPr>
              <w:rPr>
                <w:rFonts w:ascii="Arial" w:hAnsi="Arial" w:cs="Arial"/>
                <w:sz w:val="20"/>
                <w:szCs w:val="20"/>
              </w:rPr>
            </w:pPr>
            <w:r w:rsidRPr="001D4A8D">
              <w:rPr>
                <w:rFonts w:ascii="Arial" w:hAnsi="Arial" w:cs="Arial"/>
                <w:sz w:val="20"/>
                <w:szCs w:val="20"/>
              </w:rPr>
              <w:t>SF 1827</w:t>
            </w:r>
          </w:p>
          <w:p w14:paraId="441F500E" w14:textId="4C62C772" w:rsidR="00BD1F01" w:rsidRPr="001D4A8D" w:rsidRDefault="00BD1F01" w:rsidP="000C6302">
            <w:pPr>
              <w:rPr>
                <w:rFonts w:ascii="Arial" w:hAnsi="Arial" w:cs="Arial"/>
                <w:sz w:val="20"/>
                <w:szCs w:val="20"/>
              </w:rPr>
            </w:pPr>
            <w:r w:rsidRPr="001D4A8D">
              <w:rPr>
                <w:rFonts w:ascii="Arial" w:hAnsi="Arial" w:cs="Arial"/>
                <w:sz w:val="20"/>
                <w:szCs w:val="20"/>
              </w:rPr>
              <w:t>SF 1966</w:t>
            </w:r>
          </w:p>
        </w:tc>
        <w:tc>
          <w:tcPr>
            <w:tcW w:w="2250" w:type="dxa"/>
            <w:tcBorders>
              <w:top w:val="single" w:sz="12" w:space="0" w:color="auto"/>
            </w:tcBorders>
            <w:shd w:val="clear" w:color="auto" w:fill="FFFFFF" w:themeFill="background1"/>
          </w:tcPr>
          <w:p w14:paraId="4FFC8F7D" w14:textId="1183AB65" w:rsidR="000C6302" w:rsidRPr="001D4A8D" w:rsidRDefault="00BD1F01" w:rsidP="000C6302">
            <w:pPr>
              <w:rPr>
                <w:rFonts w:ascii="Arial" w:hAnsi="Arial" w:cs="Arial"/>
                <w:sz w:val="20"/>
                <w:szCs w:val="20"/>
              </w:rPr>
            </w:pPr>
            <w:r w:rsidRPr="001D4A8D">
              <w:rPr>
                <w:rFonts w:ascii="Arial" w:hAnsi="Arial" w:cs="Arial"/>
                <w:sz w:val="20"/>
                <w:szCs w:val="20"/>
              </w:rPr>
              <w:t xml:space="preserve">(1826, 1827) Abeler, Hoffman, Utke </w:t>
            </w:r>
          </w:p>
          <w:p w14:paraId="004F1211" w14:textId="07872DAD" w:rsidR="00BD1F01" w:rsidRPr="001D4A8D" w:rsidRDefault="00BD1F01" w:rsidP="000C6302">
            <w:pPr>
              <w:rPr>
                <w:rFonts w:ascii="Arial" w:hAnsi="Arial" w:cs="Arial"/>
                <w:sz w:val="20"/>
                <w:szCs w:val="20"/>
              </w:rPr>
            </w:pPr>
            <w:r w:rsidRPr="001D4A8D">
              <w:rPr>
                <w:rFonts w:ascii="Arial" w:hAnsi="Arial" w:cs="Arial"/>
                <w:sz w:val="20"/>
                <w:szCs w:val="20"/>
              </w:rPr>
              <w:t xml:space="preserve">(1966) Abeler </w:t>
            </w:r>
          </w:p>
        </w:tc>
        <w:tc>
          <w:tcPr>
            <w:tcW w:w="1705" w:type="dxa"/>
            <w:tcBorders>
              <w:top w:val="single" w:sz="12" w:space="0" w:color="auto"/>
              <w:right w:val="single" w:sz="12" w:space="0" w:color="auto"/>
            </w:tcBorders>
            <w:shd w:val="clear" w:color="auto" w:fill="FFFFFF" w:themeFill="background1"/>
          </w:tcPr>
          <w:p w14:paraId="7474B5A5" w14:textId="6D083B5D" w:rsidR="000C6302" w:rsidRPr="001D4A8D" w:rsidRDefault="005C2EF8" w:rsidP="000C6302">
            <w:pPr>
              <w:rPr>
                <w:rFonts w:ascii="Arial" w:hAnsi="Arial" w:cs="Arial"/>
                <w:sz w:val="20"/>
                <w:szCs w:val="20"/>
              </w:rPr>
            </w:pPr>
            <w:r>
              <w:rPr>
                <w:rFonts w:ascii="Arial" w:hAnsi="Arial" w:cs="Arial"/>
                <w:sz w:val="20"/>
                <w:szCs w:val="20"/>
              </w:rPr>
              <w:t>Laid over on 3/3 in Human Services</w:t>
            </w:r>
          </w:p>
        </w:tc>
      </w:tr>
      <w:tr w:rsidR="000C6302" w:rsidRPr="001D4A8D" w14:paraId="4B9847F9" w14:textId="77777777" w:rsidTr="00A6213D">
        <w:trPr>
          <w:trHeight w:val="144"/>
        </w:trPr>
        <w:tc>
          <w:tcPr>
            <w:tcW w:w="1752" w:type="dxa"/>
            <w:vMerge/>
            <w:tcBorders>
              <w:left w:val="single" w:sz="12" w:space="0" w:color="auto"/>
              <w:bottom w:val="single" w:sz="12" w:space="0" w:color="auto"/>
            </w:tcBorders>
          </w:tcPr>
          <w:p w14:paraId="4C05AA7C" w14:textId="77777777" w:rsidR="000C6302" w:rsidRPr="001D4A8D" w:rsidRDefault="000C6302" w:rsidP="000C6302">
            <w:pPr>
              <w:rPr>
                <w:rFonts w:ascii="Arial" w:eastAsia="PMingLiU" w:hAnsi="Arial" w:cs="Arial"/>
                <w:lang w:eastAsia="zh-TW"/>
              </w:rPr>
            </w:pPr>
          </w:p>
        </w:tc>
        <w:tc>
          <w:tcPr>
            <w:tcW w:w="6695" w:type="dxa"/>
            <w:vMerge/>
            <w:tcBorders>
              <w:bottom w:val="single" w:sz="12" w:space="0" w:color="auto"/>
              <w:right w:val="single" w:sz="12" w:space="0" w:color="auto"/>
            </w:tcBorders>
          </w:tcPr>
          <w:p w14:paraId="106A317D" w14:textId="77777777" w:rsidR="000C6302" w:rsidRPr="001D4A8D" w:rsidRDefault="000C6302" w:rsidP="000C6302">
            <w:pPr>
              <w:rPr>
                <w:rFonts w:ascii="Arial" w:eastAsia="PMingLiU" w:hAnsi="Arial" w:cs="Arial"/>
                <w:lang w:eastAsia="zh-TW"/>
              </w:rPr>
            </w:pPr>
          </w:p>
        </w:tc>
        <w:tc>
          <w:tcPr>
            <w:tcW w:w="1228" w:type="dxa"/>
            <w:tcBorders>
              <w:left w:val="single" w:sz="12" w:space="0" w:color="auto"/>
              <w:bottom w:val="single" w:sz="12" w:space="0" w:color="auto"/>
            </w:tcBorders>
            <w:shd w:val="clear" w:color="auto" w:fill="E7E6E6" w:themeFill="background2"/>
          </w:tcPr>
          <w:p w14:paraId="3831A295" w14:textId="77777777" w:rsidR="000C6302" w:rsidRPr="001D4A8D" w:rsidRDefault="00F115A0" w:rsidP="000C6302">
            <w:pPr>
              <w:rPr>
                <w:rFonts w:ascii="Arial" w:hAnsi="Arial" w:cs="Arial"/>
                <w:sz w:val="20"/>
                <w:szCs w:val="20"/>
              </w:rPr>
            </w:pPr>
            <w:r w:rsidRPr="001D4A8D">
              <w:rPr>
                <w:rFonts w:ascii="Arial" w:hAnsi="Arial" w:cs="Arial"/>
                <w:sz w:val="20"/>
                <w:szCs w:val="20"/>
              </w:rPr>
              <w:t>HF 1994</w:t>
            </w:r>
          </w:p>
          <w:p w14:paraId="25F9B2FD" w14:textId="77777777" w:rsidR="00F115A0" w:rsidRDefault="00F115A0" w:rsidP="000C6302">
            <w:pPr>
              <w:rPr>
                <w:rFonts w:ascii="Arial" w:hAnsi="Arial" w:cs="Arial"/>
                <w:sz w:val="20"/>
                <w:szCs w:val="20"/>
              </w:rPr>
            </w:pPr>
            <w:r w:rsidRPr="001D4A8D">
              <w:rPr>
                <w:rFonts w:ascii="Arial" w:hAnsi="Arial" w:cs="Arial"/>
                <w:sz w:val="20"/>
                <w:szCs w:val="20"/>
              </w:rPr>
              <w:t>HF 1995</w:t>
            </w:r>
          </w:p>
          <w:p w14:paraId="54F9451A" w14:textId="384B6DE9" w:rsidR="005C2EF8" w:rsidRPr="001D4A8D" w:rsidRDefault="005C2EF8" w:rsidP="000C6302">
            <w:pPr>
              <w:rPr>
                <w:rFonts w:ascii="Arial" w:hAnsi="Arial" w:cs="Arial"/>
                <w:sz w:val="20"/>
                <w:szCs w:val="20"/>
              </w:rPr>
            </w:pPr>
            <w:r>
              <w:rPr>
                <w:rFonts w:ascii="Arial" w:hAnsi="Arial" w:cs="Arial"/>
                <w:sz w:val="20"/>
                <w:szCs w:val="20"/>
              </w:rPr>
              <w:t>HF 1963</w:t>
            </w:r>
          </w:p>
        </w:tc>
        <w:tc>
          <w:tcPr>
            <w:tcW w:w="2250" w:type="dxa"/>
            <w:tcBorders>
              <w:bottom w:val="single" w:sz="12" w:space="0" w:color="auto"/>
            </w:tcBorders>
            <w:shd w:val="clear" w:color="auto" w:fill="E7E6E6" w:themeFill="background2"/>
          </w:tcPr>
          <w:p w14:paraId="2CB03947" w14:textId="307001FE" w:rsidR="00F115A0" w:rsidRDefault="000C6302" w:rsidP="000C6302">
            <w:pPr>
              <w:rPr>
                <w:rFonts w:ascii="Arial" w:hAnsi="Arial" w:cs="Arial"/>
                <w:sz w:val="20"/>
                <w:szCs w:val="20"/>
              </w:rPr>
            </w:pPr>
            <w:r w:rsidRPr="001D4A8D">
              <w:rPr>
                <w:rFonts w:ascii="Arial" w:hAnsi="Arial" w:cs="Arial"/>
                <w:sz w:val="20"/>
                <w:szCs w:val="20"/>
              </w:rPr>
              <w:t>Frederick</w:t>
            </w:r>
            <w:r w:rsidR="00F115A0" w:rsidRPr="001D4A8D">
              <w:rPr>
                <w:rFonts w:ascii="Arial" w:hAnsi="Arial" w:cs="Arial"/>
                <w:sz w:val="20"/>
                <w:szCs w:val="20"/>
              </w:rPr>
              <w:t>, Baker, Fischer, Hicks, Virnig</w:t>
            </w:r>
          </w:p>
          <w:p w14:paraId="79DCD53A" w14:textId="1F483511" w:rsidR="001D4A8D" w:rsidRPr="001D4A8D" w:rsidRDefault="001D4A8D" w:rsidP="000C6302">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27ED09A8" w14:textId="77777777" w:rsidR="000C6302" w:rsidRPr="001D4A8D" w:rsidRDefault="000C6302" w:rsidP="000C6302">
            <w:pPr>
              <w:rPr>
                <w:rFonts w:ascii="Arial" w:hAnsi="Arial" w:cs="Arial"/>
                <w:sz w:val="20"/>
                <w:szCs w:val="20"/>
              </w:rPr>
            </w:pPr>
          </w:p>
        </w:tc>
      </w:tr>
      <w:tr w:rsidR="00F115A0" w:rsidRPr="001D4A8D" w14:paraId="3EB30115"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3958AE46" w14:textId="4425F333" w:rsidR="00F115A0" w:rsidRPr="001D4A8D" w:rsidRDefault="00F115A0" w:rsidP="00F115A0">
            <w:pPr>
              <w:rPr>
                <w:rFonts w:ascii="Arial" w:eastAsia="PMingLiU" w:hAnsi="Arial" w:cs="Arial"/>
                <w:lang w:eastAsia="zh-TW"/>
              </w:rPr>
            </w:pPr>
            <w:r w:rsidRPr="001D4A8D">
              <w:rPr>
                <w:rFonts w:ascii="Arial" w:eastAsia="PMingLiU" w:hAnsi="Arial" w:cs="Arial"/>
                <w:lang w:eastAsia="zh-TW"/>
              </w:rPr>
              <w:t>Terminology Bill</w:t>
            </w:r>
          </w:p>
        </w:tc>
        <w:tc>
          <w:tcPr>
            <w:tcW w:w="6695" w:type="dxa"/>
            <w:vMerge w:val="restart"/>
            <w:tcBorders>
              <w:top w:val="single" w:sz="12" w:space="0" w:color="auto"/>
              <w:right w:val="single" w:sz="12" w:space="0" w:color="auto"/>
            </w:tcBorders>
            <w:shd w:val="clear" w:color="auto" w:fill="D9E2F3" w:themeFill="accent1" w:themeFillTint="33"/>
          </w:tcPr>
          <w:p w14:paraId="1A228661" w14:textId="478D063E" w:rsidR="00F115A0" w:rsidRPr="001D4A8D" w:rsidRDefault="00F115A0" w:rsidP="00F115A0">
            <w:pPr>
              <w:rPr>
                <w:rFonts w:ascii="Arial" w:eastAsia="PMingLiU" w:hAnsi="Arial" w:cs="Arial"/>
                <w:lang w:eastAsia="zh-TW"/>
              </w:rPr>
            </w:pPr>
            <w:r w:rsidRPr="001D4A8D">
              <w:rPr>
                <w:rFonts w:ascii="Arial" w:eastAsia="PMingLiU" w:hAnsi="Arial" w:cs="Arial"/>
                <w:lang w:eastAsia="zh-TW"/>
              </w:rPr>
              <w:t xml:space="preserve">Changes “Emotional Disturbance (ED)” and “Serious Emotional Disturbance (SED)” to “Mental Illness” and “Serious Mental Illness” in statute, changes "out of home placement" in the children’s mental health act to "residential treatment", </w:t>
            </w:r>
          </w:p>
        </w:tc>
        <w:tc>
          <w:tcPr>
            <w:tcW w:w="1228" w:type="dxa"/>
            <w:tcBorders>
              <w:top w:val="single" w:sz="12" w:space="0" w:color="auto"/>
              <w:left w:val="single" w:sz="12" w:space="0" w:color="auto"/>
            </w:tcBorders>
            <w:shd w:val="clear" w:color="auto" w:fill="FFFFFF" w:themeFill="background1"/>
          </w:tcPr>
          <w:p w14:paraId="3989EDA3" w14:textId="44C5E2F9" w:rsidR="00F115A0" w:rsidRPr="001D4A8D" w:rsidRDefault="00F115A0" w:rsidP="00F115A0">
            <w:pPr>
              <w:rPr>
                <w:rFonts w:ascii="Arial" w:hAnsi="Arial" w:cs="Arial"/>
                <w:sz w:val="20"/>
                <w:szCs w:val="20"/>
              </w:rPr>
            </w:pPr>
            <w:r w:rsidRPr="001D4A8D">
              <w:rPr>
                <w:rFonts w:ascii="Arial" w:hAnsi="Arial" w:cs="Arial"/>
                <w:sz w:val="20"/>
                <w:szCs w:val="20"/>
              </w:rPr>
              <w:t>SF 2134</w:t>
            </w:r>
          </w:p>
        </w:tc>
        <w:tc>
          <w:tcPr>
            <w:tcW w:w="2250" w:type="dxa"/>
            <w:tcBorders>
              <w:top w:val="single" w:sz="12" w:space="0" w:color="auto"/>
            </w:tcBorders>
            <w:shd w:val="clear" w:color="auto" w:fill="FFFFFF" w:themeFill="background1"/>
          </w:tcPr>
          <w:p w14:paraId="7B6E5B1B" w14:textId="483962EC" w:rsidR="00F115A0" w:rsidRPr="001D4A8D" w:rsidRDefault="00F115A0" w:rsidP="00F115A0">
            <w:pPr>
              <w:rPr>
                <w:rFonts w:ascii="Arial" w:hAnsi="Arial" w:cs="Arial"/>
                <w:sz w:val="20"/>
                <w:szCs w:val="20"/>
              </w:rPr>
            </w:pPr>
            <w:r w:rsidRPr="001D4A8D">
              <w:rPr>
                <w:rFonts w:ascii="Arial" w:hAnsi="Arial" w:cs="Arial"/>
                <w:sz w:val="20"/>
                <w:szCs w:val="20"/>
              </w:rPr>
              <w:t>Mohamed, Marty</w:t>
            </w:r>
            <w:r w:rsidR="004E03FE">
              <w:rPr>
                <w:rFonts w:ascii="Arial" w:hAnsi="Arial" w:cs="Arial"/>
                <w:sz w:val="20"/>
                <w:szCs w:val="20"/>
              </w:rPr>
              <w:t>, Hoffman</w:t>
            </w:r>
          </w:p>
        </w:tc>
        <w:tc>
          <w:tcPr>
            <w:tcW w:w="1705" w:type="dxa"/>
            <w:tcBorders>
              <w:top w:val="single" w:sz="12" w:space="0" w:color="auto"/>
              <w:right w:val="single" w:sz="12" w:space="0" w:color="auto"/>
            </w:tcBorders>
            <w:shd w:val="clear" w:color="auto" w:fill="FFFFFF" w:themeFill="background1"/>
          </w:tcPr>
          <w:p w14:paraId="53AA134B" w14:textId="4691E6FE" w:rsidR="00F115A0" w:rsidRPr="001D4A8D" w:rsidRDefault="005C2EF8" w:rsidP="00F115A0">
            <w:pPr>
              <w:rPr>
                <w:rFonts w:ascii="Arial" w:hAnsi="Arial" w:cs="Arial"/>
                <w:sz w:val="20"/>
                <w:szCs w:val="20"/>
              </w:rPr>
            </w:pPr>
            <w:r>
              <w:rPr>
                <w:rFonts w:ascii="Arial" w:hAnsi="Arial" w:cs="Arial"/>
                <w:sz w:val="20"/>
                <w:szCs w:val="20"/>
              </w:rPr>
              <w:t>Hearing on 3/13 in Health and Human Services</w:t>
            </w:r>
          </w:p>
        </w:tc>
      </w:tr>
      <w:tr w:rsidR="00F115A0" w:rsidRPr="001D4A8D" w14:paraId="61B8DACF" w14:textId="77777777" w:rsidTr="00A6213D">
        <w:trPr>
          <w:trHeight w:val="144"/>
        </w:trPr>
        <w:tc>
          <w:tcPr>
            <w:tcW w:w="1752" w:type="dxa"/>
            <w:vMerge/>
            <w:tcBorders>
              <w:left w:val="single" w:sz="12" w:space="0" w:color="auto"/>
            </w:tcBorders>
            <w:shd w:val="clear" w:color="auto" w:fill="D9E2F3" w:themeFill="accent1" w:themeFillTint="33"/>
          </w:tcPr>
          <w:p w14:paraId="031C76E0" w14:textId="77777777" w:rsidR="00F115A0" w:rsidRPr="001D4A8D" w:rsidRDefault="00F115A0" w:rsidP="00F115A0">
            <w:pPr>
              <w:rPr>
                <w:rFonts w:ascii="Arial" w:eastAsia="PMingLiU" w:hAnsi="Arial" w:cs="Arial"/>
                <w:lang w:eastAsia="zh-TW"/>
              </w:rPr>
            </w:pPr>
          </w:p>
        </w:tc>
        <w:tc>
          <w:tcPr>
            <w:tcW w:w="6695" w:type="dxa"/>
            <w:vMerge/>
            <w:tcBorders>
              <w:right w:val="single" w:sz="12" w:space="0" w:color="auto"/>
            </w:tcBorders>
            <w:shd w:val="clear" w:color="auto" w:fill="D9E2F3" w:themeFill="accent1" w:themeFillTint="33"/>
          </w:tcPr>
          <w:p w14:paraId="76092505" w14:textId="77777777" w:rsidR="00F115A0" w:rsidRPr="001D4A8D" w:rsidRDefault="00F115A0" w:rsidP="00F115A0">
            <w:pPr>
              <w:rPr>
                <w:rFonts w:ascii="Arial" w:eastAsia="PMingLiU" w:hAnsi="Arial" w:cs="Arial"/>
                <w:lang w:eastAsia="zh-TW"/>
              </w:rPr>
            </w:pPr>
          </w:p>
        </w:tc>
        <w:tc>
          <w:tcPr>
            <w:tcW w:w="1228" w:type="dxa"/>
            <w:tcBorders>
              <w:left w:val="single" w:sz="12" w:space="0" w:color="auto"/>
            </w:tcBorders>
            <w:shd w:val="clear" w:color="auto" w:fill="E7E6E6" w:themeFill="background2"/>
          </w:tcPr>
          <w:p w14:paraId="57DE331E" w14:textId="3A630B73" w:rsidR="00F115A0" w:rsidRPr="001D4A8D" w:rsidRDefault="00EC6601" w:rsidP="00F115A0">
            <w:pPr>
              <w:rPr>
                <w:rFonts w:ascii="Arial" w:hAnsi="Arial" w:cs="Arial"/>
                <w:sz w:val="20"/>
                <w:szCs w:val="20"/>
              </w:rPr>
            </w:pPr>
            <w:r>
              <w:rPr>
                <w:rFonts w:ascii="Arial" w:hAnsi="Arial" w:cs="Arial"/>
                <w:sz w:val="20"/>
                <w:szCs w:val="20"/>
              </w:rPr>
              <w:t>HF 2196</w:t>
            </w:r>
          </w:p>
        </w:tc>
        <w:tc>
          <w:tcPr>
            <w:tcW w:w="2250" w:type="dxa"/>
            <w:shd w:val="clear" w:color="auto" w:fill="E7E6E6" w:themeFill="background2"/>
          </w:tcPr>
          <w:p w14:paraId="025BF1E0" w14:textId="77F46B71" w:rsidR="00F115A0" w:rsidRPr="001D4A8D" w:rsidRDefault="00F115A0" w:rsidP="00F115A0">
            <w:pPr>
              <w:rPr>
                <w:rFonts w:ascii="Arial" w:hAnsi="Arial" w:cs="Arial"/>
                <w:sz w:val="20"/>
                <w:szCs w:val="20"/>
              </w:rPr>
            </w:pPr>
            <w:r w:rsidRPr="001D4A8D">
              <w:rPr>
                <w:rFonts w:ascii="Arial" w:hAnsi="Arial" w:cs="Arial"/>
                <w:sz w:val="20"/>
                <w:szCs w:val="20"/>
              </w:rPr>
              <w:t>Fischer</w:t>
            </w:r>
          </w:p>
        </w:tc>
        <w:tc>
          <w:tcPr>
            <w:tcW w:w="1705" w:type="dxa"/>
            <w:tcBorders>
              <w:right w:val="single" w:sz="12" w:space="0" w:color="auto"/>
            </w:tcBorders>
            <w:shd w:val="clear" w:color="auto" w:fill="E7E6E6" w:themeFill="background2"/>
          </w:tcPr>
          <w:p w14:paraId="1C5AC80A" w14:textId="1214FDFA" w:rsidR="00F115A0" w:rsidRPr="001D4A8D" w:rsidRDefault="00F115A0" w:rsidP="00F115A0">
            <w:pPr>
              <w:rPr>
                <w:rFonts w:ascii="Arial" w:hAnsi="Arial" w:cs="Arial"/>
                <w:sz w:val="20"/>
                <w:szCs w:val="20"/>
              </w:rPr>
            </w:pPr>
          </w:p>
        </w:tc>
      </w:tr>
      <w:tr w:rsidR="00F115A0" w:rsidRPr="001D4A8D" w14:paraId="56C96A38" w14:textId="14B2342D" w:rsidTr="009F7D54">
        <w:trPr>
          <w:trHeight w:val="20"/>
        </w:trPr>
        <w:tc>
          <w:tcPr>
            <w:tcW w:w="1752" w:type="dxa"/>
            <w:vMerge w:val="restart"/>
            <w:tcBorders>
              <w:top w:val="single" w:sz="12" w:space="0" w:color="auto"/>
              <w:left w:val="single" w:sz="12" w:space="0" w:color="auto"/>
            </w:tcBorders>
            <w:shd w:val="clear" w:color="auto" w:fill="D9E2F3" w:themeFill="accent1" w:themeFillTint="33"/>
          </w:tcPr>
          <w:p w14:paraId="713BB85B" w14:textId="4C6B0486" w:rsidR="00F115A0" w:rsidRPr="001D4A8D" w:rsidRDefault="00F115A0" w:rsidP="00F115A0">
            <w:pPr>
              <w:rPr>
                <w:rFonts w:ascii="Arial" w:hAnsi="Arial" w:cs="Arial"/>
              </w:rPr>
            </w:pPr>
            <w:r w:rsidRPr="001D4A8D">
              <w:rPr>
                <w:rFonts w:ascii="Arial" w:hAnsi="Arial" w:cs="Arial"/>
              </w:rPr>
              <w:t>Workforce Dual Pipeline</w:t>
            </w:r>
          </w:p>
        </w:tc>
        <w:tc>
          <w:tcPr>
            <w:tcW w:w="6695" w:type="dxa"/>
            <w:vMerge w:val="restart"/>
            <w:tcBorders>
              <w:top w:val="single" w:sz="12" w:space="0" w:color="auto"/>
              <w:right w:val="single" w:sz="12" w:space="0" w:color="auto"/>
            </w:tcBorders>
            <w:shd w:val="clear" w:color="auto" w:fill="D9E2F3" w:themeFill="accent1" w:themeFillTint="33"/>
          </w:tcPr>
          <w:p w14:paraId="1B1C7113" w14:textId="01484426" w:rsidR="00F115A0" w:rsidRPr="001D4A8D" w:rsidRDefault="00F115A0" w:rsidP="00F115A0">
            <w:pPr>
              <w:rPr>
                <w:rFonts w:ascii="Arial" w:hAnsi="Arial" w:cs="Arial"/>
              </w:rPr>
            </w:pPr>
            <w:r w:rsidRPr="001D4A8D">
              <w:rPr>
                <w:rFonts w:ascii="Arial" w:hAnsi="Arial" w:cs="Arial"/>
              </w:rPr>
              <w:t>Increases funding for dual pipeline programming for mental health providers in diverse and rural communities</w:t>
            </w:r>
          </w:p>
        </w:tc>
        <w:tc>
          <w:tcPr>
            <w:tcW w:w="1228" w:type="dxa"/>
            <w:tcBorders>
              <w:top w:val="single" w:sz="12" w:space="0" w:color="auto"/>
              <w:left w:val="single" w:sz="12" w:space="0" w:color="auto"/>
            </w:tcBorders>
          </w:tcPr>
          <w:p w14:paraId="2D2A9CAD" w14:textId="6CF17A69" w:rsidR="00F115A0" w:rsidRPr="001D4A8D" w:rsidRDefault="00F115A0" w:rsidP="00F115A0">
            <w:pPr>
              <w:rPr>
                <w:rFonts w:ascii="Arial" w:hAnsi="Arial" w:cs="Arial"/>
                <w:sz w:val="20"/>
                <w:szCs w:val="20"/>
              </w:rPr>
            </w:pPr>
          </w:p>
        </w:tc>
        <w:tc>
          <w:tcPr>
            <w:tcW w:w="2250" w:type="dxa"/>
            <w:tcBorders>
              <w:top w:val="single" w:sz="12" w:space="0" w:color="auto"/>
            </w:tcBorders>
          </w:tcPr>
          <w:p w14:paraId="768402D0" w14:textId="64646CBF" w:rsidR="00F115A0" w:rsidRPr="001D4A8D" w:rsidRDefault="00F115A0" w:rsidP="00F115A0">
            <w:pPr>
              <w:rPr>
                <w:rFonts w:ascii="Arial" w:hAnsi="Arial" w:cs="Arial"/>
                <w:sz w:val="20"/>
                <w:szCs w:val="20"/>
              </w:rPr>
            </w:pPr>
            <w:r w:rsidRPr="001D4A8D">
              <w:rPr>
                <w:rFonts w:ascii="Arial" w:hAnsi="Arial" w:cs="Arial"/>
                <w:sz w:val="20"/>
                <w:szCs w:val="20"/>
              </w:rPr>
              <w:t>Mohamed</w:t>
            </w:r>
          </w:p>
        </w:tc>
        <w:tc>
          <w:tcPr>
            <w:tcW w:w="1705" w:type="dxa"/>
            <w:tcBorders>
              <w:top w:val="single" w:sz="12" w:space="0" w:color="auto"/>
              <w:right w:val="single" w:sz="12" w:space="0" w:color="auto"/>
            </w:tcBorders>
          </w:tcPr>
          <w:p w14:paraId="138861D1" w14:textId="52C75E61" w:rsidR="00F115A0" w:rsidRPr="001D4A8D" w:rsidRDefault="00F115A0" w:rsidP="00F115A0">
            <w:pPr>
              <w:rPr>
                <w:rFonts w:ascii="Arial" w:hAnsi="Arial" w:cs="Arial"/>
                <w:sz w:val="20"/>
                <w:szCs w:val="20"/>
              </w:rPr>
            </w:pPr>
          </w:p>
        </w:tc>
      </w:tr>
      <w:tr w:rsidR="00F115A0" w:rsidRPr="001D4A8D" w14:paraId="221C02F4" w14:textId="77777777" w:rsidTr="009F7D54">
        <w:trPr>
          <w:trHeight w:val="144"/>
        </w:trPr>
        <w:tc>
          <w:tcPr>
            <w:tcW w:w="1752" w:type="dxa"/>
            <w:vMerge/>
            <w:tcBorders>
              <w:left w:val="single" w:sz="12" w:space="0" w:color="auto"/>
              <w:bottom w:val="single" w:sz="12" w:space="0" w:color="auto"/>
            </w:tcBorders>
            <w:shd w:val="clear" w:color="auto" w:fill="D9E2F3" w:themeFill="accent1" w:themeFillTint="33"/>
          </w:tcPr>
          <w:p w14:paraId="5999FCE4" w14:textId="77777777" w:rsidR="00F115A0" w:rsidRPr="001D4A8D" w:rsidRDefault="00F115A0" w:rsidP="00F115A0">
            <w:pPr>
              <w:rPr>
                <w:rFonts w:ascii="Arial" w:hAnsi="Arial" w:cs="Arial"/>
              </w:rPr>
            </w:pPr>
          </w:p>
        </w:tc>
        <w:tc>
          <w:tcPr>
            <w:tcW w:w="6695" w:type="dxa"/>
            <w:vMerge/>
            <w:tcBorders>
              <w:bottom w:val="single" w:sz="12" w:space="0" w:color="auto"/>
              <w:right w:val="single" w:sz="12" w:space="0" w:color="auto"/>
            </w:tcBorders>
            <w:shd w:val="clear" w:color="auto" w:fill="D9E2F3" w:themeFill="accent1" w:themeFillTint="33"/>
          </w:tcPr>
          <w:p w14:paraId="038799BD" w14:textId="77777777" w:rsidR="00F115A0" w:rsidRPr="001D4A8D" w:rsidRDefault="00F115A0" w:rsidP="00F115A0">
            <w:pPr>
              <w:rPr>
                <w:rFonts w:ascii="Arial" w:hAnsi="Arial" w:cs="Arial"/>
              </w:rPr>
            </w:pPr>
          </w:p>
        </w:tc>
        <w:tc>
          <w:tcPr>
            <w:tcW w:w="1228" w:type="dxa"/>
            <w:tcBorders>
              <w:left w:val="single" w:sz="12" w:space="0" w:color="auto"/>
              <w:bottom w:val="single" w:sz="12" w:space="0" w:color="auto"/>
            </w:tcBorders>
            <w:shd w:val="clear" w:color="auto" w:fill="E7E6E6" w:themeFill="background2"/>
          </w:tcPr>
          <w:p w14:paraId="04219226" w14:textId="127B106B" w:rsidR="00F115A0" w:rsidRPr="001D4A8D" w:rsidRDefault="00F115A0" w:rsidP="00F115A0">
            <w:pPr>
              <w:rPr>
                <w:rFonts w:ascii="Arial" w:hAnsi="Arial" w:cs="Arial"/>
                <w:sz w:val="20"/>
                <w:szCs w:val="20"/>
              </w:rPr>
            </w:pPr>
          </w:p>
        </w:tc>
        <w:tc>
          <w:tcPr>
            <w:tcW w:w="2250" w:type="dxa"/>
            <w:tcBorders>
              <w:bottom w:val="single" w:sz="12" w:space="0" w:color="auto"/>
            </w:tcBorders>
            <w:shd w:val="clear" w:color="auto" w:fill="E7E6E6" w:themeFill="background2"/>
          </w:tcPr>
          <w:p w14:paraId="16F06EE9" w14:textId="163182FC" w:rsidR="00F115A0" w:rsidRPr="001D4A8D" w:rsidRDefault="00F115A0" w:rsidP="00F115A0">
            <w:pPr>
              <w:rPr>
                <w:rFonts w:ascii="Arial" w:hAnsi="Arial" w:cs="Arial"/>
                <w:sz w:val="20"/>
                <w:szCs w:val="20"/>
              </w:rPr>
            </w:pPr>
          </w:p>
        </w:tc>
        <w:tc>
          <w:tcPr>
            <w:tcW w:w="1705" w:type="dxa"/>
            <w:tcBorders>
              <w:bottom w:val="single" w:sz="12" w:space="0" w:color="auto"/>
              <w:right w:val="single" w:sz="12" w:space="0" w:color="auto"/>
            </w:tcBorders>
            <w:shd w:val="clear" w:color="auto" w:fill="E7E6E6" w:themeFill="background2"/>
          </w:tcPr>
          <w:p w14:paraId="20DB8F7A" w14:textId="17B0F63A" w:rsidR="00F115A0" w:rsidRPr="001D4A8D" w:rsidRDefault="00F115A0" w:rsidP="00F115A0">
            <w:pPr>
              <w:rPr>
                <w:rFonts w:ascii="Arial" w:hAnsi="Arial" w:cs="Arial"/>
                <w:sz w:val="20"/>
                <w:szCs w:val="20"/>
              </w:rPr>
            </w:pPr>
          </w:p>
        </w:tc>
      </w:tr>
      <w:tr w:rsidR="00F115A0" w:rsidRPr="001D4A8D" w14:paraId="65079747" w14:textId="77777777" w:rsidTr="00A6213D">
        <w:trPr>
          <w:trHeight w:val="144"/>
        </w:trPr>
        <w:tc>
          <w:tcPr>
            <w:tcW w:w="1752" w:type="dxa"/>
            <w:vMerge w:val="restart"/>
            <w:tcBorders>
              <w:top w:val="single" w:sz="12" w:space="0" w:color="auto"/>
              <w:left w:val="single" w:sz="12" w:space="0" w:color="auto"/>
            </w:tcBorders>
            <w:shd w:val="clear" w:color="auto" w:fill="D9E2F3" w:themeFill="accent1" w:themeFillTint="33"/>
          </w:tcPr>
          <w:p w14:paraId="6B8DC7BD" w14:textId="4B87A95C" w:rsidR="00F115A0" w:rsidRPr="001D4A8D" w:rsidRDefault="00F115A0" w:rsidP="00F115A0">
            <w:pPr>
              <w:rPr>
                <w:rFonts w:ascii="Arial" w:hAnsi="Arial" w:cs="Arial"/>
              </w:rPr>
            </w:pPr>
            <w:r w:rsidRPr="001D4A8D">
              <w:rPr>
                <w:rFonts w:ascii="Arial" w:hAnsi="Arial" w:cs="Arial"/>
              </w:rPr>
              <w:t>Workforce Recruitment and Retention</w:t>
            </w:r>
          </w:p>
        </w:tc>
        <w:tc>
          <w:tcPr>
            <w:tcW w:w="6695" w:type="dxa"/>
            <w:vMerge w:val="restart"/>
            <w:tcBorders>
              <w:top w:val="single" w:sz="12" w:space="0" w:color="auto"/>
              <w:right w:val="single" w:sz="12" w:space="0" w:color="auto"/>
            </w:tcBorders>
            <w:shd w:val="clear" w:color="auto" w:fill="D9E2F3" w:themeFill="accent1" w:themeFillTint="33"/>
          </w:tcPr>
          <w:p w14:paraId="39347B2C" w14:textId="2E790F15" w:rsidR="00F115A0" w:rsidRPr="001D4A8D" w:rsidRDefault="00F115A0" w:rsidP="00F115A0">
            <w:pPr>
              <w:rPr>
                <w:rFonts w:ascii="Arial" w:hAnsi="Arial" w:cs="Arial"/>
              </w:rPr>
            </w:pPr>
            <w:r w:rsidRPr="001D4A8D">
              <w:rPr>
                <w:rFonts w:ascii="Arial" w:eastAsia="PMingLiU" w:hAnsi="Arial" w:cs="Arial"/>
                <w:lang w:eastAsia="zh-TW"/>
              </w:rPr>
              <w:t>Funds a Mental Health/Substance Use Disorder center, extends loan forgiveness to people completing supervision hours, updates the health professionals’ program</w:t>
            </w:r>
          </w:p>
        </w:tc>
        <w:tc>
          <w:tcPr>
            <w:tcW w:w="1228" w:type="dxa"/>
            <w:tcBorders>
              <w:top w:val="single" w:sz="12" w:space="0" w:color="auto"/>
              <w:left w:val="single" w:sz="12" w:space="0" w:color="auto"/>
            </w:tcBorders>
          </w:tcPr>
          <w:p w14:paraId="2D6614D6" w14:textId="09E0B37D" w:rsidR="00F115A0" w:rsidRPr="001D4A8D" w:rsidRDefault="00F115A0" w:rsidP="00F115A0">
            <w:pPr>
              <w:rPr>
                <w:rFonts w:ascii="Arial" w:hAnsi="Arial" w:cs="Arial"/>
                <w:sz w:val="20"/>
                <w:szCs w:val="20"/>
              </w:rPr>
            </w:pPr>
          </w:p>
        </w:tc>
        <w:tc>
          <w:tcPr>
            <w:tcW w:w="2250" w:type="dxa"/>
            <w:tcBorders>
              <w:top w:val="single" w:sz="12" w:space="0" w:color="auto"/>
            </w:tcBorders>
          </w:tcPr>
          <w:p w14:paraId="403A2504" w14:textId="0FA49C58" w:rsidR="00F115A0" w:rsidRPr="001D4A8D" w:rsidRDefault="00F115A0" w:rsidP="00F115A0">
            <w:pPr>
              <w:rPr>
                <w:rFonts w:ascii="Arial" w:hAnsi="Arial" w:cs="Arial"/>
                <w:sz w:val="20"/>
                <w:szCs w:val="20"/>
              </w:rPr>
            </w:pPr>
            <w:r w:rsidRPr="001D4A8D">
              <w:rPr>
                <w:rFonts w:ascii="Arial" w:hAnsi="Arial" w:cs="Arial"/>
                <w:sz w:val="20"/>
                <w:szCs w:val="20"/>
              </w:rPr>
              <w:t>Mohamed</w:t>
            </w:r>
          </w:p>
        </w:tc>
        <w:tc>
          <w:tcPr>
            <w:tcW w:w="1705" w:type="dxa"/>
            <w:tcBorders>
              <w:top w:val="single" w:sz="12" w:space="0" w:color="auto"/>
              <w:right w:val="single" w:sz="12" w:space="0" w:color="auto"/>
            </w:tcBorders>
          </w:tcPr>
          <w:p w14:paraId="11AAEB0A" w14:textId="73E71C8D" w:rsidR="00F115A0" w:rsidRPr="001D4A8D" w:rsidRDefault="00F115A0" w:rsidP="00F115A0">
            <w:pPr>
              <w:rPr>
                <w:rFonts w:ascii="Arial" w:hAnsi="Arial" w:cs="Arial"/>
                <w:sz w:val="20"/>
                <w:szCs w:val="20"/>
              </w:rPr>
            </w:pPr>
          </w:p>
        </w:tc>
      </w:tr>
      <w:tr w:rsidR="00F115A0" w:rsidRPr="001D4A8D" w14:paraId="772DFF00" w14:textId="77777777" w:rsidTr="001D4A8D">
        <w:trPr>
          <w:trHeight w:val="404"/>
        </w:trPr>
        <w:tc>
          <w:tcPr>
            <w:tcW w:w="1752" w:type="dxa"/>
            <w:vMerge/>
            <w:tcBorders>
              <w:left w:val="single" w:sz="12" w:space="0" w:color="auto"/>
              <w:bottom w:val="single" w:sz="12" w:space="0" w:color="auto"/>
            </w:tcBorders>
            <w:shd w:val="clear" w:color="auto" w:fill="D9E2F3" w:themeFill="accent1" w:themeFillTint="33"/>
          </w:tcPr>
          <w:p w14:paraId="6A1F05CA" w14:textId="77777777" w:rsidR="00F115A0" w:rsidRPr="001D4A8D" w:rsidRDefault="00F115A0" w:rsidP="00F115A0">
            <w:pPr>
              <w:rPr>
                <w:rFonts w:ascii="Arial" w:hAnsi="Arial" w:cs="Arial"/>
              </w:rPr>
            </w:pPr>
          </w:p>
        </w:tc>
        <w:tc>
          <w:tcPr>
            <w:tcW w:w="6695" w:type="dxa"/>
            <w:vMerge/>
            <w:tcBorders>
              <w:bottom w:val="single" w:sz="12" w:space="0" w:color="auto"/>
              <w:right w:val="single" w:sz="12" w:space="0" w:color="auto"/>
            </w:tcBorders>
            <w:shd w:val="clear" w:color="auto" w:fill="D9E2F3" w:themeFill="accent1" w:themeFillTint="33"/>
          </w:tcPr>
          <w:p w14:paraId="432DF4A5" w14:textId="77777777" w:rsidR="00F115A0" w:rsidRPr="001D4A8D" w:rsidRDefault="00F115A0" w:rsidP="00F115A0">
            <w:pPr>
              <w:rPr>
                <w:rFonts w:ascii="Arial" w:hAnsi="Arial" w:cs="Arial"/>
              </w:rPr>
            </w:pPr>
          </w:p>
        </w:tc>
        <w:tc>
          <w:tcPr>
            <w:tcW w:w="1228" w:type="dxa"/>
            <w:tcBorders>
              <w:left w:val="single" w:sz="12" w:space="0" w:color="auto"/>
              <w:bottom w:val="single" w:sz="12" w:space="0" w:color="auto"/>
            </w:tcBorders>
            <w:shd w:val="clear" w:color="auto" w:fill="E7E6E6" w:themeFill="background2"/>
          </w:tcPr>
          <w:p w14:paraId="550F24BF" w14:textId="77777777" w:rsidR="00F115A0" w:rsidRPr="001D4A8D" w:rsidRDefault="00F115A0" w:rsidP="00F115A0">
            <w:pPr>
              <w:rPr>
                <w:rFonts w:ascii="Arial" w:hAnsi="Arial" w:cs="Arial"/>
                <w:sz w:val="20"/>
                <w:szCs w:val="20"/>
              </w:rPr>
            </w:pPr>
          </w:p>
        </w:tc>
        <w:tc>
          <w:tcPr>
            <w:tcW w:w="2250" w:type="dxa"/>
            <w:tcBorders>
              <w:bottom w:val="single" w:sz="12" w:space="0" w:color="auto"/>
            </w:tcBorders>
            <w:shd w:val="clear" w:color="auto" w:fill="E7E6E6" w:themeFill="background2"/>
          </w:tcPr>
          <w:p w14:paraId="4101A62D" w14:textId="64AE594C" w:rsidR="00F115A0" w:rsidRPr="001D4A8D" w:rsidRDefault="00F115A0" w:rsidP="00F115A0">
            <w:pPr>
              <w:rPr>
                <w:rFonts w:ascii="Arial" w:hAnsi="Arial" w:cs="Arial"/>
                <w:sz w:val="20"/>
                <w:szCs w:val="20"/>
              </w:rPr>
            </w:pPr>
            <w:r w:rsidRPr="001D4A8D">
              <w:rPr>
                <w:rFonts w:ascii="Arial" w:hAnsi="Arial" w:cs="Arial"/>
                <w:sz w:val="20"/>
                <w:szCs w:val="20"/>
              </w:rPr>
              <w:t>Norris</w:t>
            </w:r>
          </w:p>
        </w:tc>
        <w:tc>
          <w:tcPr>
            <w:tcW w:w="1705" w:type="dxa"/>
            <w:tcBorders>
              <w:bottom w:val="single" w:sz="12" w:space="0" w:color="auto"/>
              <w:right w:val="single" w:sz="12" w:space="0" w:color="auto"/>
            </w:tcBorders>
            <w:shd w:val="clear" w:color="auto" w:fill="E7E6E6" w:themeFill="background2"/>
          </w:tcPr>
          <w:p w14:paraId="7750F0AC" w14:textId="77777777" w:rsidR="00F115A0" w:rsidRPr="001D4A8D" w:rsidRDefault="00F115A0" w:rsidP="00F115A0">
            <w:pPr>
              <w:rPr>
                <w:rFonts w:ascii="Arial" w:hAnsi="Arial" w:cs="Arial"/>
                <w:sz w:val="20"/>
                <w:szCs w:val="20"/>
              </w:rPr>
            </w:pPr>
          </w:p>
        </w:tc>
      </w:tr>
    </w:tbl>
    <w:p w14:paraId="6FDFCF14" w14:textId="2D4A705C" w:rsidR="006609EF" w:rsidRDefault="006609EF" w:rsidP="007870C3">
      <w:pPr>
        <w:tabs>
          <w:tab w:val="left" w:pos="3726"/>
        </w:tabs>
        <w:rPr>
          <w:rFonts w:ascii="Arial" w:hAnsi="Arial" w:cs="Arial"/>
        </w:rPr>
      </w:pPr>
    </w:p>
    <w:p w14:paraId="77F072DC" w14:textId="08F72476" w:rsidR="006609EF" w:rsidRPr="001D4A8D" w:rsidRDefault="006609EF" w:rsidP="007870C3">
      <w:pPr>
        <w:tabs>
          <w:tab w:val="left" w:pos="3726"/>
        </w:tabs>
        <w:rPr>
          <w:rFonts w:ascii="Arial" w:hAnsi="Arial" w:cs="Arial"/>
        </w:rPr>
      </w:pPr>
      <w:r>
        <w:rPr>
          <w:rFonts w:ascii="Arial" w:hAnsi="Arial" w:cs="Arial"/>
        </w:rPr>
        <w:t xml:space="preserve">March </w:t>
      </w:r>
      <w:r w:rsidR="00282C6D">
        <w:rPr>
          <w:rFonts w:ascii="Arial" w:hAnsi="Arial" w:cs="Arial"/>
        </w:rPr>
        <w:t>13</w:t>
      </w:r>
      <w:r>
        <w:rPr>
          <w:rFonts w:ascii="Arial" w:hAnsi="Arial" w:cs="Arial"/>
        </w:rPr>
        <w:t>, 2025</w:t>
      </w:r>
    </w:p>
    <w:sectPr w:rsidR="006609EF" w:rsidRPr="001D4A8D" w:rsidSect="004B115D">
      <w:headerReference w:type="default" r:id="rId8"/>
      <w:pgSz w:w="15840" w:h="12240" w:orient="landscape"/>
      <w:pgMar w:top="1080" w:right="1170" w:bottom="108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5A" w14:textId="77777777" w:rsidR="00D20A56" w:rsidRDefault="00D20A56" w:rsidP="005F3AF5">
      <w:pPr>
        <w:spacing w:after="0" w:line="240" w:lineRule="auto"/>
      </w:pPr>
      <w:r>
        <w:separator/>
      </w:r>
    </w:p>
  </w:endnote>
  <w:endnote w:type="continuationSeparator" w:id="0">
    <w:p w14:paraId="5D781671" w14:textId="77777777" w:rsidR="00D20A56" w:rsidRDefault="00D20A56" w:rsidP="005F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4CBC" w14:textId="77777777" w:rsidR="00D20A56" w:rsidRDefault="00D20A56" w:rsidP="005F3AF5">
      <w:pPr>
        <w:spacing w:after="0" w:line="240" w:lineRule="auto"/>
      </w:pPr>
      <w:r>
        <w:separator/>
      </w:r>
    </w:p>
  </w:footnote>
  <w:footnote w:type="continuationSeparator" w:id="0">
    <w:p w14:paraId="265E13D4" w14:textId="77777777" w:rsidR="00D20A56" w:rsidRDefault="00D20A56" w:rsidP="005F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2733" w14:textId="28FC8D7C" w:rsidR="00BD502A" w:rsidRDefault="00BD502A">
    <w:pPr>
      <w:pStyle w:val="Header"/>
    </w:pPr>
    <w:r>
      <w:t xml:space="preserve">Bills </w:t>
    </w:r>
    <w:r w:rsidRPr="00BD502A">
      <w:rPr>
        <w:shd w:val="clear" w:color="auto" w:fill="D9E2F3" w:themeFill="accent1" w:themeFillTint="33"/>
      </w:rPr>
      <w:t>colored in blue</w:t>
    </w:r>
    <w:r>
      <w:t xml:space="preserve"> are bills that NAMI is taking the lead on.</w:t>
    </w:r>
  </w:p>
  <w:p w14:paraId="11366D20" w14:textId="77777777" w:rsidR="005F3AF5" w:rsidRDefault="005F3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C40"/>
    <w:multiLevelType w:val="multilevel"/>
    <w:tmpl w:val="A10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67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5"/>
    <w:rsid w:val="00077275"/>
    <w:rsid w:val="0008687B"/>
    <w:rsid w:val="000C6302"/>
    <w:rsid w:val="000D48FF"/>
    <w:rsid w:val="000D56C5"/>
    <w:rsid w:val="000E2F6B"/>
    <w:rsid w:val="000E6929"/>
    <w:rsid w:val="000F450D"/>
    <w:rsid w:val="00111B6C"/>
    <w:rsid w:val="001354B5"/>
    <w:rsid w:val="00142AD5"/>
    <w:rsid w:val="001454FC"/>
    <w:rsid w:val="00166283"/>
    <w:rsid w:val="00175C1E"/>
    <w:rsid w:val="00176657"/>
    <w:rsid w:val="001B726D"/>
    <w:rsid w:val="001D4A8D"/>
    <w:rsid w:val="001D7B92"/>
    <w:rsid w:val="001E5F6D"/>
    <w:rsid w:val="001F3FA0"/>
    <w:rsid w:val="001F4B70"/>
    <w:rsid w:val="002340C8"/>
    <w:rsid w:val="00237649"/>
    <w:rsid w:val="00282C6D"/>
    <w:rsid w:val="00350660"/>
    <w:rsid w:val="003569DC"/>
    <w:rsid w:val="003D6A91"/>
    <w:rsid w:val="00412D84"/>
    <w:rsid w:val="0042660F"/>
    <w:rsid w:val="004642C3"/>
    <w:rsid w:val="00480610"/>
    <w:rsid w:val="0048085E"/>
    <w:rsid w:val="0049223B"/>
    <w:rsid w:val="004B0BA4"/>
    <w:rsid w:val="004B115D"/>
    <w:rsid w:val="004E03FE"/>
    <w:rsid w:val="004E5FB2"/>
    <w:rsid w:val="004F1A39"/>
    <w:rsid w:val="004F5D9D"/>
    <w:rsid w:val="00514C43"/>
    <w:rsid w:val="0052119C"/>
    <w:rsid w:val="00544377"/>
    <w:rsid w:val="0055406C"/>
    <w:rsid w:val="005873BC"/>
    <w:rsid w:val="005A0D5E"/>
    <w:rsid w:val="005B0821"/>
    <w:rsid w:val="005B2811"/>
    <w:rsid w:val="005C2EF8"/>
    <w:rsid w:val="005C60D5"/>
    <w:rsid w:val="005D3DBE"/>
    <w:rsid w:val="005E22FD"/>
    <w:rsid w:val="005E2A4A"/>
    <w:rsid w:val="005F3AF5"/>
    <w:rsid w:val="005F49A5"/>
    <w:rsid w:val="006244C4"/>
    <w:rsid w:val="00653296"/>
    <w:rsid w:val="006609EF"/>
    <w:rsid w:val="00662DDF"/>
    <w:rsid w:val="00664919"/>
    <w:rsid w:val="00671634"/>
    <w:rsid w:val="00676D6B"/>
    <w:rsid w:val="006A5610"/>
    <w:rsid w:val="006A72E3"/>
    <w:rsid w:val="006B792D"/>
    <w:rsid w:val="006C5A14"/>
    <w:rsid w:val="006C7D24"/>
    <w:rsid w:val="006D6180"/>
    <w:rsid w:val="006D7115"/>
    <w:rsid w:val="007137F8"/>
    <w:rsid w:val="007463C3"/>
    <w:rsid w:val="0078351A"/>
    <w:rsid w:val="007870C3"/>
    <w:rsid w:val="007942F5"/>
    <w:rsid w:val="00796F3B"/>
    <w:rsid w:val="007D260A"/>
    <w:rsid w:val="007E60A9"/>
    <w:rsid w:val="008550D0"/>
    <w:rsid w:val="00880C15"/>
    <w:rsid w:val="00892DA7"/>
    <w:rsid w:val="008A49F4"/>
    <w:rsid w:val="008D2964"/>
    <w:rsid w:val="008E34BB"/>
    <w:rsid w:val="008F4CAF"/>
    <w:rsid w:val="00902898"/>
    <w:rsid w:val="009103CD"/>
    <w:rsid w:val="00910484"/>
    <w:rsid w:val="0091184C"/>
    <w:rsid w:val="00912CB2"/>
    <w:rsid w:val="009355DB"/>
    <w:rsid w:val="00986C0B"/>
    <w:rsid w:val="00996496"/>
    <w:rsid w:val="00996F84"/>
    <w:rsid w:val="009A4E42"/>
    <w:rsid w:val="009B2B27"/>
    <w:rsid w:val="009B5081"/>
    <w:rsid w:val="009F1E14"/>
    <w:rsid w:val="009F7D54"/>
    <w:rsid w:val="00A05DDC"/>
    <w:rsid w:val="00A13A0F"/>
    <w:rsid w:val="00A27550"/>
    <w:rsid w:val="00A40AAA"/>
    <w:rsid w:val="00A6213D"/>
    <w:rsid w:val="00A744EA"/>
    <w:rsid w:val="00A9104E"/>
    <w:rsid w:val="00AB549E"/>
    <w:rsid w:val="00AF38A9"/>
    <w:rsid w:val="00B06958"/>
    <w:rsid w:val="00B26493"/>
    <w:rsid w:val="00B33726"/>
    <w:rsid w:val="00B90EA9"/>
    <w:rsid w:val="00BB612C"/>
    <w:rsid w:val="00BC5680"/>
    <w:rsid w:val="00BD1F01"/>
    <w:rsid w:val="00BD502A"/>
    <w:rsid w:val="00BD745E"/>
    <w:rsid w:val="00BE584D"/>
    <w:rsid w:val="00BF2E83"/>
    <w:rsid w:val="00C17528"/>
    <w:rsid w:val="00C623D5"/>
    <w:rsid w:val="00CB3A21"/>
    <w:rsid w:val="00CC297A"/>
    <w:rsid w:val="00CE56EB"/>
    <w:rsid w:val="00D014DE"/>
    <w:rsid w:val="00D01504"/>
    <w:rsid w:val="00D0407B"/>
    <w:rsid w:val="00D20A56"/>
    <w:rsid w:val="00D30BCE"/>
    <w:rsid w:val="00D41564"/>
    <w:rsid w:val="00D46C24"/>
    <w:rsid w:val="00D54B04"/>
    <w:rsid w:val="00D608F9"/>
    <w:rsid w:val="00D772EE"/>
    <w:rsid w:val="00D80F0B"/>
    <w:rsid w:val="00DC06C0"/>
    <w:rsid w:val="00DE6656"/>
    <w:rsid w:val="00DF25AF"/>
    <w:rsid w:val="00E367F1"/>
    <w:rsid w:val="00E4454F"/>
    <w:rsid w:val="00EB49D9"/>
    <w:rsid w:val="00EC6601"/>
    <w:rsid w:val="00ED0C5B"/>
    <w:rsid w:val="00EF002D"/>
    <w:rsid w:val="00F115A0"/>
    <w:rsid w:val="00F13F16"/>
    <w:rsid w:val="00F307CC"/>
    <w:rsid w:val="00F34A94"/>
    <w:rsid w:val="00F36AAC"/>
    <w:rsid w:val="00F37FDB"/>
    <w:rsid w:val="00F42459"/>
    <w:rsid w:val="00F568C6"/>
    <w:rsid w:val="00F82583"/>
    <w:rsid w:val="00F82EC6"/>
    <w:rsid w:val="00F96AE3"/>
    <w:rsid w:val="00FA2612"/>
    <w:rsid w:val="00FB15C8"/>
    <w:rsid w:val="00FB3096"/>
    <w:rsid w:val="00FB42B2"/>
    <w:rsid w:val="00FE17FF"/>
    <w:rsid w:val="00FE5A52"/>
    <w:rsid w:val="00FF1480"/>
    <w:rsid w:val="00FF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5129"/>
  <w15:chartTrackingRefBased/>
  <w15:docId w15:val="{57927A24-5A11-439C-BFCF-DDEC541A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A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A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A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F5"/>
    <w:rPr>
      <w:rFonts w:eastAsiaTheme="majorEastAsia" w:cstheme="majorBidi"/>
      <w:color w:val="272727" w:themeColor="text1" w:themeTint="D8"/>
    </w:rPr>
  </w:style>
  <w:style w:type="paragraph" w:styleId="Title">
    <w:name w:val="Title"/>
    <w:basedOn w:val="Normal"/>
    <w:next w:val="Normal"/>
    <w:link w:val="TitleChar"/>
    <w:uiPriority w:val="10"/>
    <w:qFormat/>
    <w:rsid w:val="005F3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F5"/>
    <w:pPr>
      <w:spacing w:before="160"/>
      <w:jc w:val="center"/>
    </w:pPr>
    <w:rPr>
      <w:i/>
      <w:iCs/>
      <w:color w:val="404040" w:themeColor="text1" w:themeTint="BF"/>
    </w:rPr>
  </w:style>
  <w:style w:type="character" w:customStyle="1" w:styleId="QuoteChar">
    <w:name w:val="Quote Char"/>
    <w:basedOn w:val="DefaultParagraphFont"/>
    <w:link w:val="Quote"/>
    <w:uiPriority w:val="29"/>
    <w:rsid w:val="005F3AF5"/>
    <w:rPr>
      <w:i/>
      <w:iCs/>
      <w:color w:val="404040" w:themeColor="text1" w:themeTint="BF"/>
    </w:rPr>
  </w:style>
  <w:style w:type="paragraph" w:styleId="ListParagraph">
    <w:name w:val="List Paragraph"/>
    <w:basedOn w:val="Normal"/>
    <w:uiPriority w:val="34"/>
    <w:qFormat/>
    <w:rsid w:val="005F3AF5"/>
    <w:pPr>
      <w:ind w:left="720"/>
      <w:contextualSpacing/>
    </w:pPr>
  </w:style>
  <w:style w:type="character" w:styleId="IntenseEmphasis">
    <w:name w:val="Intense Emphasis"/>
    <w:basedOn w:val="DefaultParagraphFont"/>
    <w:uiPriority w:val="21"/>
    <w:qFormat/>
    <w:rsid w:val="005F3AF5"/>
    <w:rPr>
      <w:i/>
      <w:iCs/>
      <w:color w:val="2F5496" w:themeColor="accent1" w:themeShade="BF"/>
    </w:rPr>
  </w:style>
  <w:style w:type="paragraph" w:styleId="IntenseQuote">
    <w:name w:val="Intense Quote"/>
    <w:basedOn w:val="Normal"/>
    <w:next w:val="Normal"/>
    <w:link w:val="IntenseQuoteChar"/>
    <w:uiPriority w:val="30"/>
    <w:qFormat/>
    <w:rsid w:val="005F3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AF5"/>
    <w:rPr>
      <w:i/>
      <w:iCs/>
      <w:color w:val="2F5496" w:themeColor="accent1" w:themeShade="BF"/>
    </w:rPr>
  </w:style>
  <w:style w:type="character" w:styleId="IntenseReference">
    <w:name w:val="Intense Reference"/>
    <w:basedOn w:val="DefaultParagraphFont"/>
    <w:uiPriority w:val="32"/>
    <w:qFormat/>
    <w:rsid w:val="005F3AF5"/>
    <w:rPr>
      <w:b/>
      <w:bCs/>
      <w:smallCaps/>
      <w:color w:val="2F5496" w:themeColor="accent1" w:themeShade="BF"/>
      <w:spacing w:val="5"/>
    </w:rPr>
  </w:style>
  <w:style w:type="paragraph" w:styleId="Header">
    <w:name w:val="header"/>
    <w:basedOn w:val="Normal"/>
    <w:link w:val="HeaderChar"/>
    <w:uiPriority w:val="99"/>
    <w:unhideWhenUsed/>
    <w:rsid w:val="005F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F5"/>
  </w:style>
  <w:style w:type="paragraph" w:styleId="Footer">
    <w:name w:val="footer"/>
    <w:basedOn w:val="Normal"/>
    <w:link w:val="FooterChar"/>
    <w:uiPriority w:val="99"/>
    <w:unhideWhenUsed/>
    <w:rsid w:val="005F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F5"/>
  </w:style>
  <w:style w:type="table" w:styleId="TableGrid">
    <w:name w:val="Table Grid"/>
    <w:basedOn w:val="TableNormal"/>
    <w:uiPriority w:val="39"/>
    <w:rsid w:val="005F3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13D"/>
    <w:rPr>
      <w:color w:val="0563C1" w:themeColor="hyperlink"/>
      <w:u w:val="single"/>
    </w:rPr>
  </w:style>
  <w:style w:type="character" w:styleId="UnresolvedMention">
    <w:name w:val="Unresolved Mention"/>
    <w:basedOn w:val="DefaultParagraphFont"/>
    <w:uiPriority w:val="99"/>
    <w:semiHidden/>
    <w:unhideWhenUsed/>
    <w:rsid w:val="00A6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724">
      <w:bodyDiv w:val="1"/>
      <w:marLeft w:val="0"/>
      <w:marRight w:val="0"/>
      <w:marTop w:val="0"/>
      <w:marBottom w:val="0"/>
      <w:divBdr>
        <w:top w:val="none" w:sz="0" w:space="0" w:color="auto"/>
        <w:left w:val="none" w:sz="0" w:space="0" w:color="auto"/>
        <w:bottom w:val="none" w:sz="0" w:space="0" w:color="auto"/>
        <w:right w:val="none" w:sz="0" w:space="0" w:color="auto"/>
      </w:divBdr>
    </w:div>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F151-B391-4BAF-BCEF-74C19B04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Knispel (she/her)</dc:creator>
  <cp:keywords/>
  <dc:description/>
  <cp:lastModifiedBy>Sue Abderholden (she/her)</cp:lastModifiedBy>
  <cp:revision>6</cp:revision>
  <cp:lastPrinted>2025-02-28T18:59:00Z</cp:lastPrinted>
  <dcterms:created xsi:type="dcterms:W3CDTF">2025-03-13T20:09:00Z</dcterms:created>
  <dcterms:modified xsi:type="dcterms:W3CDTF">2025-03-16T18:48:00Z</dcterms:modified>
</cp:coreProperties>
</file>