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DADC" w14:textId="7B235964" w:rsidR="005C5EDA" w:rsidRPr="005C5EDA" w:rsidRDefault="005C5EDA" w:rsidP="005C5EDA">
      <w:pPr>
        <w:jc w:val="center"/>
        <w:rPr>
          <w:b/>
          <w:bCs/>
          <w:i/>
          <w:iCs/>
          <w:u w:val="single"/>
        </w:rPr>
      </w:pPr>
      <w:r w:rsidRPr="005C5EDA">
        <w:rPr>
          <w:b/>
          <w:bCs/>
          <w:u w:val="single"/>
        </w:rPr>
        <w:t xml:space="preserve">Key Points About the Proposed Class Settlement Agreement in </w:t>
      </w:r>
      <w:r w:rsidRPr="005C5EDA">
        <w:rPr>
          <w:b/>
          <w:bCs/>
          <w:i/>
          <w:iCs/>
          <w:u w:val="single"/>
        </w:rPr>
        <w:t>In Re Payment Card Interchange Fee and Merchant Discount Antitrust Litigation</w:t>
      </w:r>
    </w:p>
    <w:p w14:paraId="7F8458B6" w14:textId="77777777" w:rsidR="00BD4D69" w:rsidRDefault="00BD4D69" w:rsidP="00BD4D69"/>
    <w:p w14:paraId="07870929" w14:textId="418E5025" w:rsidR="005170F3" w:rsidRDefault="005C5EDA" w:rsidP="0091505A">
      <w:r w:rsidRPr="00A25BDA">
        <w:t>Visa</w:t>
      </w:r>
      <w:r>
        <w:t xml:space="preserve">, </w:t>
      </w:r>
      <w:r w:rsidRPr="00A25BDA">
        <w:t>Mastercard</w:t>
      </w:r>
      <w:r>
        <w:t xml:space="preserve">, and the giant banks that are defendants in the </w:t>
      </w:r>
      <w:r w:rsidR="005170F3">
        <w:t xml:space="preserve">class action </w:t>
      </w:r>
      <w:r>
        <w:t xml:space="preserve">litigation </w:t>
      </w:r>
      <w:r w:rsidR="005170F3">
        <w:t xml:space="preserve">regarding credit card industry practices </w:t>
      </w:r>
      <w:r>
        <w:t xml:space="preserve">have been quick to tout </w:t>
      </w:r>
      <w:r w:rsidR="00A23B7D">
        <w:t>a new proposed settlement</w:t>
      </w:r>
      <w:r>
        <w:t xml:space="preserve">, which was negotiated with lawyers representing a small subset of the nation’s merchants. A closer look at the </w:t>
      </w:r>
      <w:r w:rsidR="007E53C9">
        <w:t xml:space="preserve">proposed </w:t>
      </w:r>
      <w:r>
        <w:t xml:space="preserve">settlement shows this is a sweetheart deal for </w:t>
      </w:r>
      <w:r w:rsidR="00A44902">
        <w:t>Visa, Mastercard</w:t>
      </w:r>
      <w:r>
        <w:t xml:space="preserve"> and their biggest card issuers</w:t>
      </w:r>
      <w:r w:rsidR="00BD4D69">
        <w:t xml:space="preserve">, and it </w:t>
      </w:r>
      <w:r w:rsidR="005170F3">
        <w:t>has major problems for merchants and consumers</w:t>
      </w:r>
      <w:r>
        <w:t>.</w:t>
      </w:r>
    </w:p>
    <w:p w14:paraId="6FC1B8A9" w14:textId="77777777" w:rsidR="00A23B7D" w:rsidRDefault="00A23B7D" w:rsidP="0091505A"/>
    <w:p w14:paraId="2623ABD1" w14:textId="4FFDDBB2" w:rsidR="00A23B7D" w:rsidRPr="00CA3546" w:rsidRDefault="00A23B7D" w:rsidP="0091505A">
      <w:pPr>
        <w:rPr>
          <w:b/>
          <w:bCs/>
        </w:rPr>
      </w:pPr>
      <w:r w:rsidRPr="00CA3546">
        <w:rPr>
          <w:b/>
          <w:bCs/>
        </w:rPr>
        <w:t xml:space="preserve">This is the third </w:t>
      </w:r>
      <w:r w:rsidR="00551D2E" w:rsidRPr="00CA3546">
        <w:rPr>
          <w:b/>
          <w:bCs/>
        </w:rPr>
        <w:t>attempt</w:t>
      </w:r>
      <w:r w:rsidRPr="00CA3546">
        <w:rPr>
          <w:b/>
          <w:bCs/>
        </w:rPr>
        <w:t xml:space="preserve"> by the credit card industry to push a </w:t>
      </w:r>
      <w:r w:rsidR="000E048F" w:rsidRPr="00CA3546">
        <w:rPr>
          <w:b/>
          <w:bCs/>
        </w:rPr>
        <w:t>settlement</w:t>
      </w:r>
      <w:r w:rsidRPr="00CA3546">
        <w:rPr>
          <w:b/>
          <w:bCs/>
        </w:rPr>
        <w:t xml:space="preserve"> through the courts that protects and preserves their anticompetitive business model. The courts have rejected these efforts twice in the past and should do so again.</w:t>
      </w:r>
    </w:p>
    <w:p w14:paraId="71A6866A" w14:textId="77777777" w:rsidR="005170F3" w:rsidRDefault="005170F3" w:rsidP="005170F3"/>
    <w:p w14:paraId="2F5DFB05" w14:textId="24F701BF" w:rsidR="005C5EDA" w:rsidRPr="00FE723F" w:rsidRDefault="00FE723F" w:rsidP="005170F3">
      <w:pPr>
        <w:rPr>
          <w:rFonts w:ascii="Arial Black" w:hAnsi="Arial Black"/>
          <w:sz w:val="28"/>
          <w:szCs w:val="28"/>
        </w:rPr>
      </w:pPr>
      <w:r>
        <w:rPr>
          <w:rFonts w:ascii="Arial Black" w:hAnsi="Arial Black"/>
          <w:sz w:val="28"/>
          <w:szCs w:val="28"/>
        </w:rPr>
        <w:t>Do</w:t>
      </w:r>
      <w:r w:rsidR="005170F3" w:rsidRPr="00FE723F">
        <w:rPr>
          <w:rFonts w:ascii="Arial Black" w:hAnsi="Arial Black"/>
          <w:sz w:val="28"/>
          <w:szCs w:val="28"/>
        </w:rPr>
        <w:t>es Not Stop Cartel Pricing</w:t>
      </w:r>
      <w:r w:rsidR="00372B69" w:rsidRPr="00FE723F">
        <w:rPr>
          <w:rFonts w:ascii="Arial Black" w:hAnsi="Arial Black"/>
          <w:sz w:val="28"/>
          <w:szCs w:val="28"/>
        </w:rPr>
        <w:t xml:space="preserve">  </w:t>
      </w:r>
    </w:p>
    <w:p w14:paraId="1EA4478C" w14:textId="77777777" w:rsidR="007E53C9" w:rsidRDefault="007E53C9" w:rsidP="007E53C9">
      <w:pPr>
        <w:pStyle w:val="ListParagraph"/>
      </w:pPr>
    </w:p>
    <w:p w14:paraId="329C1E14" w14:textId="1B762ED8" w:rsidR="005170F3" w:rsidRDefault="005170F3" w:rsidP="005C5EDA">
      <w:pPr>
        <w:pStyle w:val="ListParagraph"/>
        <w:numPr>
          <w:ilvl w:val="0"/>
          <w:numId w:val="2"/>
        </w:numPr>
      </w:pPr>
      <w:r>
        <w:t>The biggest problem with credit card swipe fees is Visa and Mastercard organize the banks that issue credit cards into large cartels. Visa and Mastercard tell those banks how much to charge merchants in swipe fees</w:t>
      </w:r>
      <w:r w:rsidR="00BD4D69">
        <w:t>, so</w:t>
      </w:r>
      <w:r>
        <w:t xml:space="preserve"> those banks don’t </w:t>
      </w:r>
      <w:proofErr w:type="gramStart"/>
      <w:r>
        <w:t>compete with each other</w:t>
      </w:r>
      <w:proofErr w:type="gramEnd"/>
      <w:r>
        <w:t xml:space="preserve"> on prices.</w:t>
      </w:r>
      <w:r w:rsidR="001F20BC">
        <w:t xml:space="preserve">  This results in excessively high fees that are ultimately borne by consumers.</w:t>
      </w:r>
    </w:p>
    <w:p w14:paraId="7A66B909" w14:textId="77777777" w:rsidR="005170F3" w:rsidRDefault="005170F3" w:rsidP="005C5EDA">
      <w:pPr>
        <w:pStyle w:val="ListParagraph"/>
        <w:numPr>
          <w:ilvl w:val="0"/>
          <w:numId w:val="2"/>
        </w:numPr>
      </w:pPr>
      <w:r>
        <w:t xml:space="preserve">Nothing in the proposed settlement changes the cartel pricing problem. </w:t>
      </w:r>
    </w:p>
    <w:p w14:paraId="6632B90D" w14:textId="1290BCCE" w:rsidR="00C47DA5" w:rsidRDefault="00C47DA5" w:rsidP="005C5EDA">
      <w:pPr>
        <w:pStyle w:val="ListParagraph"/>
        <w:numPr>
          <w:ilvl w:val="0"/>
          <w:numId w:val="2"/>
        </w:numPr>
      </w:pPr>
      <w:r>
        <w:t xml:space="preserve">Nothing in the proposed settlement </w:t>
      </w:r>
      <w:r w:rsidR="001F20BC">
        <w:t>changes</w:t>
      </w:r>
      <w:r w:rsidR="00756208">
        <w:t xml:space="preserve"> the dominance of the Visa-Mastercard duopoly</w:t>
      </w:r>
      <w:r>
        <w:t>.</w:t>
      </w:r>
    </w:p>
    <w:p w14:paraId="08CA6981" w14:textId="77777777" w:rsidR="005170F3" w:rsidRDefault="005170F3" w:rsidP="005170F3"/>
    <w:p w14:paraId="7ECB8A3B" w14:textId="77637F20" w:rsidR="005170F3" w:rsidRPr="00FE723F" w:rsidRDefault="005170F3" w:rsidP="005170F3">
      <w:pPr>
        <w:rPr>
          <w:rFonts w:ascii="Arial Black" w:hAnsi="Arial Black"/>
          <w:sz w:val="28"/>
          <w:szCs w:val="28"/>
        </w:rPr>
      </w:pPr>
      <w:r w:rsidRPr="00FE723F">
        <w:rPr>
          <w:rFonts w:ascii="Arial Black" w:hAnsi="Arial Black"/>
          <w:sz w:val="28"/>
          <w:szCs w:val="28"/>
        </w:rPr>
        <w:t>Approves Cartel Pricing and Extends it Into the Future</w:t>
      </w:r>
    </w:p>
    <w:p w14:paraId="0808A026" w14:textId="77777777" w:rsidR="000763D2" w:rsidRPr="005170F3" w:rsidRDefault="000763D2" w:rsidP="005170F3">
      <w:pPr>
        <w:rPr>
          <w:u w:val="single"/>
        </w:rPr>
      </w:pPr>
    </w:p>
    <w:p w14:paraId="19894EAB" w14:textId="42548831" w:rsidR="005170F3" w:rsidRDefault="005170F3" w:rsidP="005C5EDA">
      <w:pPr>
        <w:pStyle w:val="ListParagraph"/>
        <w:numPr>
          <w:ilvl w:val="0"/>
          <w:numId w:val="2"/>
        </w:numPr>
      </w:pPr>
      <w:r>
        <w:t xml:space="preserve">Rather than fix the problem, the proposed settlement cuts off the </w:t>
      </w:r>
      <w:r w:rsidR="00756208">
        <w:t xml:space="preserve">legal </w:t>
      </w:r>
      <w:r>
        <w:t>rights of any other merchant or group to challenge the credit card cartel pricing model.</w:t>
      </w:r>
    </w:p>
    <w:p w14:paraId="420D43CD" w14:textId="77777777" w:rsidR="005170F3" w:rsidRDefault="005170F3" w:rsidP="005C5EDA">
      <w:pPr>
        <w:pStyle w:val="ListParagraph"/>
        <w:numPr>
          <w:ilvl w:val="0"/>
          <w:numId w:val="2"/>
        </w:numPr>
      </w:pPr>
      <w:r>
        <w:t>The proposed settlement is mandatory for any merchant that accepted credit or debit cards. So, merchants would be stuck with the biggest problems with the system.</w:t>
      </w:r>
    </w:p>
    <w:p w14:paraId="1526177D" w14:textId="77777777" w:rsidR="005170F3" w:rsidRDefault="005170F3" w:rsidP="005170F3"/>
    <w:p w14:paraId="4F7B88D2" w14:textId="4ABF85BB" w:rsidR="00563DFC" w:rsidRPr="00FE723F" w:rsidRDefault="00CD5E1E" w:rsidP="005170F3">
      <w:pPr>
        <w:rPr>
          <w:rFonts w:ascii="Arial Black" w:hAnsi="Arial Black"/>
          <w:sz w:val="28"/>
          <w:szCs w:val="28"/>
        </w:rPr>
      </w:pPr>
      <w:r w:rsidRPr="00FE723F">
        <w:rPr>
          <w:rFonts w:ascii="Arial Black" w:hAnsi="Arial Black"/>
          <w:sz w:val="28"/>
          <w:szCs w:val="28"/>
        </w:rPr>
        <w:t>Doesn’t Address the Central Reason the Court Rejected the Last Deal</w:t>
      </w:r>
    </w:p>
    <w:p w14:paraId="59210C9F" w14:textId="77777777" w:rsidR="00CD5E1E" w:rsidRDefault="00CD5E1E" w:rsidP="005170F3">
      <w:pPr>
        <w:rPr>
          <w:u w:val="single"/>
        </w:rPr>
      </w:pPr>
    </w:p>
    <w:p w14:paraId="23C4CF2F" w14:textId="5CE3AC2B" w:rsidR="00AA0126" w:rsidRDefault="00AA0126" w:rsidP="00CD5E1E">
      <w:pPr>
        <w:pStyle w:val="ListParagraph"/>
        <w:numPr>
          <w:ilvl w:val="0"/>
          <w:numId w:val="4"/>
        </w:numPr>
      </w:pPr>
      <w:r>
        <w:t>U</w:t>
      </w:r>
      <w:r w:rsidR="000E048F">
        <w:t>.</w:t>
      </w:r>
      <w:r>
        <w:t>S</w:t>
      </w:r>
      <w:r w:rsidR="000E048F">
        <w:t>.</w:t>
      </w:r>
      <w:r>
        <w:t xml:space="preserve"> District Judge Brodie rejected a very similar settlement just last year.</w:t>
      </w:r>
    </w:p>
    <w:p w14:paraId="18D07868" w14:textId="08CE3665" w:rsidR="009455FB" w:rsidRDefault="00AA0126" w:rsidP="00CD5E1E">
      <w:pPr>
        <w:pStyle w:val="ListParagraph"/>
        <w:numPr>
          <w:ilvl w:val="0"/>
          <w:numId w:val="4"/>
        </w:numPr>
      </w:pPr>
      <w:r>
        <w:t xml:space="preserve">The main reason was that the settlement did not </w:t>
      </w:r>
      <w:r w:rsidR="009455FB">
        <w:t xml:space="preserve">fix the cartel structure Visa and Mastercard have set up where banks don’t </w:t>
      </w:r>
      <w:proofErr w:type="gramStart"/>
      <w:r w:rsidR="009455FB">
        <w:t>compete with each other</w:t>
      </w:r>
      <w:proofErr w:type="gramEnd"/>
      <w:r w:rsidR="00111F18">
        <w:t>.</w:t>
      </w:r>
    </w:p>
    <w:p w14:paraId="0A5A472C" w14:textId="399D767C" w:rsidR="00111F18" w:rsidRDefault="00111F18" w:rsidP="00CD5E1E">
      <w:pPr>
        <w:pStyle w:val="ListParagraph"/>
        <w:numPr>
          <w:ilvl w:val="0"/>
          <w:numId w:val="4"/>
        </w:numPr>
      </w:pPr>
      <w:r>
        <w:t>This settlement still does not change that cartel problem.</w:t>
      </w:r>
    </w:p>
    <w:p w14:paraId="78C83987" w14:textId="38A1D2F0" w:rsidR="006F01E9" w:rsidRDefault="000E048F" w:rsidP="00CD5E1E">
      <w:pPr>
        <w:pStyle w:val="ListParagraph"/>
        <w:numPr>
          <w:ilvl w:val="0"/>
          <w:numId w:val="4"/>
        </w:numPr>
      </w:pPr>
      <w:r>
        <w:t xml:space="preserve">The proposed settlement says that merchants would be allowed to refuse to accept rewards cards – but that </w:t>
      </w:r>
      <w:r w:rsidRPr="00CA3546">
        <w:rPr>
          <w:b/>
          <w:bCs/>
        </w:rPr>
        <w:t xml:space="preserve">if a merchant wants to accept </w:t>
      </w:r>
      <w:r w:rsidRPr="00CA3546">
        <w:rPr>
          <w:b/>
          <w:bCs/>
          <w:i/>
          <w:iCs/>
        </w:rPr>
        <w:t>any</w:t>
      </w:r>
      <w:r w:rsidRPr="00CA3546">
        <w:rPr>
          <w:b/>
          <w:bCs/>
        </w:rPr>
        <w:t xml:space="preserve"> rewards card issued by </w:t>
      </w:r>
      <w:r w:rsidRPr="00CA3546">
        <w:rPr>
          <w:b/>
          <w:bCs/>
          <w:i/>
          <w:iCs/>
        </w:rPr>
        <w:t>any</w:t>
      </w:r>
      <w:r w:rsidRPr="00CA3546">
        <w:rPr>
          <w:b/>
          <w:bCs/>
        </w:rPr>
        <w:t xml:space="preserve"> bank within a card network, the merchant must accept </w:t>
      </w:r>
      <w:r w:rsidRPr="00CA3546">
        <w:rPr>
          <w:b/>
          <w:bCs/>
          <w:i/>
          <w:iCs/>
        </w:rPr>
        <w:t>all</w:t>
      </w:r>
      <w:r w:rsidRPr="00CA3546">
        <w:rPr>
          <w:b/>
          <w:bCs/>
        </w:rPr>
        <w:t xml:space="preserve"> rewards cards issued by </w:t>
      </w:r>
      <w:r w:rsidRPr="00CA3546">
        <w:rPr>
          <w:b/>
          <w:bCs/>
          <w:i/>
          <w:iCs/>
        </w:rPr>
        <w:t>all</w:t>
      </w:r>
      <w:r w:rsidRPr="00CA3546">
        <w:rPr>
          <w:b/>
          <w:bCs/>
        </w:rPr>
        <w:t xml:space="preserve"> banks within that network.</w:t>
      </w:r>
      <w:r>
        <w:t xml:space="preserve"> The settlement </w:t>
      </w:r>
      <w:r w:rsidR="006F01E9">
        <w:t>reinforces that all banks must be treated the same by merchants when deciding to take cards.</w:t>
      </w:r>
    </w:p>
    <w:p w14:paraId="6FEE4590" w14:textId="58E109E9" w:rsidR="000E048F" w:rsidRDefault="000E048F" w:rsidP="000E048F">
      <w:pPr>
        <w:pStyle w:val="ListParagraph"/>
        <w:numPr>
          <w:ilvl w:val="0"/>
          <w:numId w:val="4"/>
        </w:numPr>
      </w:pPr>
      <w:r>
        <w:t>It is hard to see how allowing merchants to opt out of accepting all rewards cards helps merchants or consumers.</w:t>
      </w:r>
    </w:p>
    <w:p w14:paraId="1D942A24" w14:textId="744C3E49" w:rsidR="00CD5E1E" w:rsidRDefault="00CD5E1E" w:rsidP="00CD5E1E">
      <w:pPr>
        <w:pStyle w:val="ListParagraph"/>
        <w:numPr>
          <w:ilvl w:val="1"/>
          <w:numId w:val="4"/>
        </w:numPr>
      </w:pPr>
      <w:r>
        <w:t xml:space="preserve">The card companies already classify </w:t>
      </w:r>
      <w:r w:rsidR="00BB53AF">
        <w:t xml:space="preserve">approximately </w:t>
      </w:r>
      <w:r>
        <w:t>85% of all the cards as rewards cards</w:t>
      </w:r>
      <w:r w:rsidR="000E048F">
        <w:t>, so opting out of rewards cards essentially means a merchant would be opting out of accepting cards altogether in an era where most retail transactions are paid by card</w:t>
      </w:r>
      <w:r>
        <w:t>.</w:t>
      </w:r>
    </w:p>
    <w:p w14:paraId="582173E1" w14:textId="7B37BAC1" w:rsidR="00CD5E1E" w:rsidRDefault="000E048F" w:rsidP="00CD5E1E">
      <w:pPr>
        <w:pStyle w:val="ListParagraph"/>
        <w:numPr>
          <w:ilvl w:val="1"/>
          <w:numId w:val="4"/>
        </w:numPr>
      </w:pPr>
      <w:r>
        <w:lastRenderedPageBreak/>
        <w:t>And t</w:t>
      </w:r>
      <w:r w:rsidR="00CD5E1E">
        <w:t>here is nothing in the settlement stopping card issuers from reclassifying as many cards as they like</w:t>
      </w:r>
      <w:r>
        <w:t xml:space="preserve"> as rewards cards whenever they want to.</w:t>
      </w:r>
    </w:p>
    <w:p w14:paraId="16675F8C" w14:textId="24046717" w:rsidR="00CD5E1E" w:rsidRDefault="00CD5E1E" w:rsidP="00CD5E1E">
      <w:pPr>
        <w:pStyle w:val="ListParagraph"/>
        <w:numPr>
          <w:ilvl w:val="1"/>
          <w:numId w:val="4"/>
        </w:numPr>
      </w:pPr>
      <w:r>
        <w:t xml:space="preserve">That means merchants </w:t>
      </w:r>
      <w:r w:rsidR="000E048F">
        <w:t>would</w:t>
      </w:r>
      <w:r>
        <w:t xml:space="preserve"> be making decisions on shifting sands that they cannot predict or control. </w:t>
      </w:r>
    </w:p>
    <w:p w14:paraId="1CA8811A" w14:textId="77777777" w:rsidR="00CD5E1E" w:rsidRPr="00CD5E1E" w:rsidRDefault="00CD5E1E" w:rsidP="00CA3546">
      <w:pPr>
        <w:pStyle w:val="ListParagraph"/>
      </w:pPr>
    </w:p>
    <w:p w14:paraId="5BDC3A01" w14:textId="45122718" w:rsidR="005170F3" w:rsidRPr="00FE723F" w:rsidRDefault="005170F3" w:rsidP="005170F3">
      <w:pPr>
        <w:rPr>
          <w:rFonts w:ascii="Arial Black" w:hAnsi="Arial Black"/>
          <w:sz w:val="28"/>
          <w:szCs w:val="28"/>
        </w:rPr>
      </w:pPr>
      <w:r w:rsidRPr="00FE723F">
        <w:rPr>
          <w:rFonts w:ascii="Arial Black" w:hAnsi="Arial Black"/>
          <w:sz w:val="28"/>
          <w:szCs w:val="28"/>
        </w:rPr>
        <w:t xml:space="preserve">Changes </w:t>
      </w:r>
      <w:r w:rsidR="001F20BC" w:rsidRPr="00FE723F">
        <w:rPr>
          <w:rFonts w:ascii="Arial Black" w:hAnsi="Arial Black"/>
          <w:sz w:val="28"/>
          <w:szCs w:val="28"/>
        </w:rPr>
        <w:t>A</w:t>
      </w:r>
      <w:r w:rsidRPr="00FE723F">
        <w:rPr>
          <w:rFonts w:ascii="Arial Black" w:hAnsi="Arial Black"/>
          <w:sz w:val="28"/>
          <w:szCs w:val="28"/>
        </w:rPr>
        <w:t>re Meager and Temporary</w:t>
      </w:r>
    </w:p>
    <w:p w14:paraId="3B86EBDA" w14:textId="77777777" w:rsidR="000763D2" w:rsidRPr="005170F3" w:rsidRDefault="000763D2" w:rsidP="005170F3">
      <w:pPr>
        <w:rPr>
          <w:u w:val="single"/>
        </w:rPr>
      </w:pPr>
    </w:p>
    <w:p w14:paraId="65E15C4F" w14:textId="1232A92D" w:rsidR="00C47DA5" w:rsidRDefault="007E53C9" w:rsidP="005C5EDA">
      <w:pPr>
        <w:pStyle w:val="ListParagraph"/>
        <w:numPr>
          <w:ilvl w:val="0"/>
          <w:numId w:val="2"/>
        </w:numPr>
      </w:pPr>
      <w:r>
        <w:t xml:space="preserve">The proposed settlement would reduce </w:t>
      </w:r>
      <w:r w:rsidR="00B16F38">
        <w:t>average</w:t>
      </w:r>
      <w:r w:rsidR="000E048F">
        <w:t xml:space="preserve"> </w:t>
      </w:r>
      <w:r>
        <w:t>Visa and Mastercard credit card interchange rate</w:t>
      </w:r>
      <w:r w:rsidR="00B16F38">
        <w:t>s</w:t>
      </w:r>
      <w:r>
        <w:t xml:space="preserve"> by </w:t>
      </w:r>
      <w:r w:rsidR="00A23B7D">
        <w:t>10</w:t>
      </w:r>
      <w:r>
        <w:t xml:space="preserve"> basis points for a period of </w:t>
      </w:r>
      <w:r w:rsidR="00A23B7D">
        <w:t>five</w:t>
      </w:r>
      <w:r>
        <w:t xml:space="preserve"> years.  </w:t>
      </w:r>
    </w:p>
    <w:p w14:paraId="23162947" w14:textId="6882B99C" w:rsidR="00C47DA5" w:rsidRDefault="007E53C9" w:rsidP="005C5EDA">
      <w:pPr>
        <w:pStyle w:val="ListParagraph"/>
        <w:numPr>
          <w:ilvl w:val="0"/>
          <w:numId w:val="2"/>
        </w:numPr>
      </w:pPr>
      <w:r>
        <w:t>However, most of Visa and Mastercard’s current rate</w:t>
      </w:r>
      <w:r w:rsidR="00A25BDA">
        <w:t xml:space="preserve">s </w:t>
      </w:r>
      <w:r>
        <w:t>a</w:t>
      </w:r>
      <w:r w:rsidR="00B03D82">
        <w:t>verage</w:t>
      </w:r>
      <w:r>
        <w:t xml:space="preserve"> 2</w:t>
      </w:r>
      <w:r w:rsidR="00B03D82">
        <w:t>35</w:t>
      </w:r>
      <w:r>
        <w:t xml:space="preserve"> basis points</w:t>
      </w:r>
      <w:r w:rsidR="00A44902">
        <w:t xml:space="preserve"> so this </w:t>
      </w:r>
      <w:r w:rsidR="00372B69">
        <w:t xml:space="preserve">temporary </w:t>
      </w:r>
      <w:r w:rsidR="00A44902">
        <w:t xml:space="preserve">reduction </w:t>
      </w:r>
      <w:r w:rsidR="00372B69">
        <w:t>represent</w:t>
      </w:r>
      <w:r w:rsidR="00A25BDA">
        <w:t>s</w:t>
      </w:r>
      <w:r w:rsidR="00A44902">
        <w:t xml:space="preserve"> a tiny fraction of the current rates.</w:t>
      </w:r>
      <w:r>
        <w:t xml:space="preserve">  </w:t>
      </w:r>
    </w:p>
    <w:p w14:paraId="07228844" w14:textId="77939AF9" w:rsidR="00B03D82" w:rsidRDefault="00B03D82" w:rsidP="005C5EDA">
      <w:pPr>
        <w:pStyle w:val="ListParagraph"/>
        <w:numPr>
          <w:ilvl w:val="0"/>
          <w:numId w:val="2"/>
        </w:numPr>
      </w:pPr>
      <w:r>
        <w:t xml:space="preserve">In fact, the reduction would </w:t>
      </w:r>
      <w:r w:rsidR="008B14DE">
        <w:t xml:space="preserve">barely exceed the 9 basis points that </w:t>
      </w:r>
      <w:r w:rsidR="000E048F">
        <w:t xml:space="preserve">Visa’s and Mastercard’s </w:t>
      </w:r>
      <w:r w:rsidR="008B14DE">
        <w:t xml:space="preserve">rates increased between 2023 and 2024. </w:t>
      </w:r>
    </w:p>
    <w:p w14:paraId="2FB1EE1B" w14:textId="4850FE65" w:rsidR="008B14DE" w:rsidRPr="00961B54" w:rsidRDefault="008B14DE" w:rsidP="005C5EDA">
      <w:pPr>
        <w:pStyle w:val="ListParagraph"/>
        <w:numPr>
          <w:ilvl w:val="0"/>
          <w:numId w:val="2"/>
        </w:numPr>
        <w:rPr>
          <w:b/>
          <w:bCs/>
        </w:rPr>
      </w:pPr>
      <w:r w:rsidRPr="00961B54">
        <w:rPr>
          <w:b/>
          <w:bCs/>
        </w:rPr>
        <w:t xml:space="preserve">After 20 years of litigation, rolling back rates by 1 year </w:t>
      </w:r>
      <w:r w:rsidR="00DD0B1D" w:rsidRPr="00961B54">
        <w:rPr>
          <w:b/>
          <w:bCs/>
        </w:rPr>
        <w:t>does not begin to address the problem.</w:t>
      </w:r>
    </w:p>
    <w:p w14:paraId="434CD88F" w14:textId="77777777" w:rsidR="00A23B7D" w:rsidRDefault="007E53C9" w:rsidP="00372B69">
      <w:pPr>
        <w:pStyle w:val="ListParagraph"/>
        <w:numPr>
          <w:ilvl w:val="0"/>
          <w:numId w:val="2"/>
        </w:numPr>
      </w:pPr>
      <w:r>
        <w:t>And</w:t>
      </w:r>
      <w:r w:rsidR="00C47DA5">
        <w:t>,</w:t>
      </w:r>
      <w:r>
        <w:t xml:space="preserve"> after the five-year period is up, Visa and Mastercard </w:t>
      </w:r>
      <w:r w:rsidR="00E05E69">
        <w:t>would</w:t>
      </w:r>
      <w:r>
        <w:t xml:space="preserve"> be able to further raise rates </w:t>
      </w:r>
      <w:r w:rsidR="00A44902">
        <w:t>without restraint</w:t>
      </w:r>
      <w:r w:rsidR="00A23B7D">
        <w:t>.</w:t>
      </w:r>
    </w:p>
    <w:p w14:paraId="4A9CC32A" w14:textId="1FEFCB8B" w:rsidR="00BB53AF" w:rsidRDefault="00BB53AF" w:rsidP="00372B69">
      <w:pPr>
        <w:pStyle w:val="ListParagraph"/>
        <w:numPr>
          <w:ilvl w:val="0"/>
          <w:numId w:val="2"/>
        </w:numPr>
      </w:pPr>
      <w:r>
        <w:t xml:space="preserve">The proposed settlement would also set a temporary interchange rate cap of 1.25% for eight years for so-called “standard” consumer credit cards. While it is notable that the credit card industry now acknowledges the </w:t>
      </w:r>
      <w:r w:rsidR="00475B37">
        <w:t>reasonableness</w:t>
      </w:r>
      <w:r>
        <w:t xml:space="preserve"> of interchange rate caps, this “standard” category is a small and shrinking subset of credit cards, and card companies would be able to freely recategorize cards out of this category to avoid the rate cap. </w:t>
      </w:r>
      <w:proofErr w:type="gramStart"/>
      <w:r>
        <w:t>So</w:t>
      </w:r>
      <w:proofErr w:type="gramEnd"/>
      <w:r>
        <w:t xml:space="preserve"> this reform is illusory.</w:t>
      </w:r>
    </w:p>
    <w:p w14:paraId="2D752A20" w14:textId="7D9E649D" w:rsidR="00C47DA5" w:rsidRDefault="000E048F" w:rsidP="000E048F">
      <w:pPr>
        <w:pStyle w:val="ListParagraph"/>
        <w:numPr>
          <w:ilvl w:val="0"/>
          <w:numId w:val="2"/>
        </w:numPr>
      </w:pPr>
      <w:r>
        <w:t>In exchange for this small temporary rate reduction</w:t>
      </w:r>
      <w:r w:rsidR="00A23B7D">
        <w:t xml:space="preserve">, the agreement </w:t>
      </w:r>
      <w:r>
        <w:t>broadly bars all merchants – even those who strongly object to this proposed settlement - from challenging</w:t>
      </w:r>
      <w:r w:rsidR="00A23B7D">
        <w:t xml:space="preserve"> </w:t>
      </w:r>
      <w:r>
        <w:t xml:space="preserve">any of </w:t>
      </w:r>
      <w:r w:rsidR="00A23B7D">
        <w:t>Visa</w:t>
      </w:r>
      <w:r>
        <w:t>’s</w:t>
      </w:r>
      <w:r w:rsidR="00A23B7D">
        <w:t xml:space="preserve"> and Mastercard</w:t>
      </w:r>
      <w:r>
        <w:t xml:space="preserve">’s merchant fees and rules in court. This sweeping liability immunity would give Visa, Mastercard and giant banks a free pass to continue their anticompetitive cartel structure and extract even higher fees. </w:t>
      </w:r>
    </w:p>
    <w:p w14:paraId="0C62D183" w14:textId="77777777" w:rsidR="00C47DA5" w:rsidRDefault="00C47DA5" w:rsidP="00C47DA5">
      <w:pPr>
        <w:pStyle w:val="ListParagraph"/>
        <w:ind w:left="360"/>
      </w:pPr>
    </w:p>
    <w:p w14:paraId="54166499" w14:textId="53DBC7C3" w:rsidR="00372B69" w:rsidRPr="00FE723F" w:rsidRDefault="00C47DA5" w:rsidP="00C47DA5">
      <w:pPr>
        <w:rPr>
          <w:rFonts w:ascii="Arial Black" w:hAnsi="Arial Black"/>
          <w:sz w:val="28"/>
          <w:szCs w:val="28"/>
        </w:rPr>
      </w:pPr>
      <w:r w:rsidRPr="00FE723F">
        <w:rPr>
          <w:rFonts w:ascii="Arial Black" w:hAnsi="Arial Black"/>
          <w:sz w:val="28"/>
          <w:szCs w:val="28"/>
        </w:rPr>
        <w:t>Riddled with Loopholes</w:t>
      </w:r>
    </w:p>
    <w:p w14:paraId="676FF9B6" w14:textId="77777777" w:rsidR="000763D2" w:rsidRPr="00F73562" w:rsidRDefault="000763D2" w:rsidP="00C47DA5">
      <w:pPr>
        <w:rPr>
          <w:u w:val="single"/>
        </w:rPr>
      </w:pPr>
    </w:p>
    <w:p w14:paraId="7D694504" w14:textId="76FBE779" w:rsidR="00C47DA5" w:rsidRPr="00F73562" w:rsidRDefault="00C47DA5" w:rsidP="005C5EDA">
      <w:pPr>
        <w:pStyle w:val="ListParagraph"/>
        <w:numPr>
          <w:ilvl w:val="0"/>
          <w:numId w:val="2"/>
        </w:numPr>
      </w:pPr>
      <w:r w:rsidRPr="00F73562">
        <w:t>The proposed settlement only reduces</w:t>
      </w:r>
      <w:r w:rsidR="001F20BC" w:rsidRPr="00F73562">
        <w:t xml:space="preserve"> (temporarily)</w:t>
      </w:r>
      <w:r w:rsidRPr="00F73562">
        <w:t xml:space="preserve"> the fees</w:t>
      </w:r>
      <w:r w:rsidR="001F20BC" w:rsidRPr="00F73562">
        <w:t xml:space="preserve"> that Visa and Mastercard fix on behalf of banks</w:t>
      </w:r>
      <w:r w:rsidRPr="00F73562">
        <w:t xml:space="preserve"> – not the network fees that go directly to Visa and Mastercard.</w:t>
      </w:r>
    </w:p>
    <w:p w14:paraId="6A9529DF" w14:textId="77777777" w:rsidR="00C47DA5" w:rsidRPr="00F73562" w:rsidRDefault="00C47DA5" w:rsidP="005C5EDA">
      <w:pPr>
        <w:pStyle w:val="ListParagraph"/>
        <w:numPr>
          <w:ilvl w:val="0"/>
          <w:numId w:val="2"/>
        </w:numPr>
      </w:pPr>
      <w:r w:rsidRPr="00F73562">
        <w:t>That means that as soon as the settlement goes into effect, Visa and Mastercard could just raise their own network fees so that merchants and their customers don’t save a penny.</w:t>
      </w:r>
    </w:p>
    <w:p w14:paraId="3FFC94BE" w14:textId="77777777" w:rsidR="00C47DA5" w:rsidRPr="00F73562" w:rsidRDefault="00C47DA5" w:rsidP="005C5EDA">
      <w:pPr>
        <w:pStyle w:val="ListParagraph"/>
        <w:numPr>
          <w:ilvl w:val="0"/>
          <w:numId w:val="2"/>
        </w:numPr>
      </w:pPr>
      <w:proofErr w:type="gramStart"/>
      <w:r w:rsidRPr="00F73562">
        <w:t>And,</w:t>
      </w:r>
      <w:proofErr w:type="gramEnd"/>
      <w:r w:rsidRPr="00F73562">
        <w:t xml:space="preserve"> Visa and Mastercard could turn around and give the banks discounts on what they pay to handle transactions so that the banks don’t give up a penny during the proposed settlement.</w:t>
      </w:r>
    </w:p>
    <w:p w14:paraId="4D806E04" w14:textId="77777777" w:rsidR="00756208" w:rsidRDefault="00756208" w:rsidP="00C47DA5">
      <w:pPr>
        <w:rPr>
          <w:u w:val="single"/>
        </w:rPr>
      </w:pPr>
    </w:p>
    <w:p w14:paraId="633085A4" w14:textId="4086D52B" w:rsidR="00C47DA5" w:rsidRPr="00FE723F" w:rsidRDefault="00C47DA5" w:rsidP="00C47DA5">
      <w:pPr>
        <w:rPr>
          <w:rFonts w:ascii="Arial Black" w:hAnsi="Arial Black"/>
          <w:sz w:val="28"/>
          <w:szCs w:val="28"/>
        </w:rPr>
      </w:pPr>
      <w:r w:rsidRPr="00FE723F">
        <w:rPr>
          <w:rFonts w:ascii="Arial Black" w:hAnsi="Arial Black"/>
          <w:sz w:val="28"/>
          <w:szCs w:val="28"/>
        </w:rPr>
        <w:t>Other Provisions</w:t>
      </w:r>
      <w:r w:rsidR="001F20BC" w:rsidRPr="00FE723F">
        <w:rPr>
          <w:rFonts w:ascii="Arial Black" w:hAnsi="Arial Black"/>
          <w:sz w:val="28"/>
          <w:szCs w:val="28"/>
        </w:rPr>
        <w:t xml:space="preserve"> in the Proposed Settlement Are</w:t>
      </w:r>
      <w:r w:rsidRPr="00FE723F">
        <w:rPr>
          <w:rFonts w:ascii="Arial Black" w:hAnsi="Arial Black"/>
          <w:sz w:val="28"/>
          <w:szCs w:val="28"/>
        </w:rPr>
        <w:t xml:space="preserve"> </w:t>
      </w:r>
      <w:r w:rsidR="009E0BD5" w:rsidRPr="00FE723F">
        <w:rPr>
          <w:rFonts w:ascii="Arial Black" w:hAnsi="Arial Black"/>
          <w:sz w:val="28"/>
          <w:szCs w:val="28"/>
        </w:rPr>
        <w:t>Weak</w:t>
      </w:r>
    </w:p>
    <w:p w14:paraId="1768DDCE" w14:textId="77777777" w:rsidR="000763D2" w:rsidRPr="00C47DA5" w:rsidRDefault="000763D2" w:rsidP="00C47DA5">
      <w:pPr>
        <w:rPr>
          <w:u w:val="single"/>
        </w:rPr>
      </w:pPr>
    </w:p>
    <w:p w14:paraId="52082A83" w14:textId="1F48B20A" w:rsidR="00C47DA5" w:rsidRDefault="00A44902" w:rsidP="00C47DA5">
      <w:pPr>
        <w:pStyle w:val="ListParagraph"/>
        <w:numPr>
          <w:ilvl w:val="0"/>
          <w:numId w:val="3"/>
        </w:numPr>
      </w:pPr>
      <w:r>
        <w:t xml:space="preserve">The proposed settlement would marginally increase merchants’ ability to impose surcharges </w:t>
      </w:r>
      <w:r w:rsidR="00A23B7D">
        <w:t xml:space="preserve">or discounts </w:t>
      </w:r>
      <w:r>
        <w:t>when consumers seek to pay with certain credit cards</w:t>
      </w:r>
      <w:r w:rsidR="00C47DA5">
        <w:t>.</w:t>
      </w:r>
    </w:p>
    <w:p w14:paraId="106CB41A" w14:textId="1D41FB6C" w:rsidR="00C47DA5" w:rsidRDefault="00C47DA5" w:rsidP="00C47DA5">
      <w:pPr>
        <w:pStyle w:val="ListParagraph"/>
        <w:numPr>
          <w:ilvl w:val="0"/>
          <w:numId w:val="3"/>
        </w:numPr>
      </w:pPr>
      <w:r>
        <w:t xml:space="preserve">But the rules are complicated </w:t>
      </w:r>
      <w:r w:rsidR="00A23B7D">
        <w:t xml:space="preserve">with myriad disclosure requirements and more such </w:t>
      </w:r>
      <w:r>
        <w:t>that most businesses, especially small businesses, won’t be able to follow them.</w:t>
      </w:r>
      <w:r w:rsidR="00D93E05">
        <w:t xml:space="preserve"> For instance, the proposal allows higher interchange rates to be imposed on merchants that surcharge.</w:t>
      </w:r>
    </w:p>
    <w:p w14:paraId="4E18C8C2" w14:textId="6ED3F75D" w:rsidR="00C47DA5" w:rsidRDefault="00A23B7D" w:rsidP="00C47DA5">
      <w:pPr>
        <w:pStyle w:val="ListParagraph"/>
        <w:numPr>
          <w:ilvl w:val="0"/>
          <w:numId w:val="3"/>
        </w:numPr>
      </w:pPr>
      <w:r>
        <w:t>S</w:t>
      </w:r>
      <w:r w:rsidR="00C47DA5">
        <w:t xml:space="preserve">urcharging is not a good answer because it just makes the merchant a </w:t>
      </w:r>
      <w:r w:rsidR="001F20BC">
        <w:t>toll</w:t>
      </w:r>
      <w:r w:rsidR="00C47DA5">
        <w:t xml:space="preserve"> collector for the credit card companies and makes it look like merchants are inventing these fees rather than being the victims of the credit card industry’s cartel pricing.</w:t>
      </w:r>
    </w:p>
    <w:p w14:paraId="61B179B1" w14:textId="740B1BE6" w:rsidR="00C47DA5" w:rsidRDefault="00C47DA5" w:rsidP="00C47DA5">
      <w:pPr>
        <w:pStyle w:val="ListParagraph"/>
        <w:numPr>
          <w:ilvl w:val="0"/>
          <w:numId w:val="3"/>
        </w:numPr>
      </w:pPr>
      <w:r>
        <w:lastRenderedPageBreak/>
        <w:t xml:space="preserve">Plus, businesses don’t like to impose </w:t>
      </w:r>
      <w:r w:rsidR="001F20BC">
        <w:t>surcharges on their customers</w:t>
      </w:r>
      <w:r>
        <w:t xml:space="preserve">. </w:t>
      </w:r>
      <w:r w:rsidR="00BD4D69">
        <w:t xml:space="preserve"> </w:t>
      </w:r>
      <w:r w:rsidR="00DC709C">
        <w:t>Surcharges</w:t>
      </w:r>
      <w:r>
        <w:t xml:space="preserve"> typically happen </w:t>
      </w:r>
      <w:r w:rsidR="00BD4D69">
        <w:t xml:space="preserve">only </w:t>
      </w:r>
      <w:r>
        <w:t xml:space="preserve">when businesses get desperate and </w:t>
      </w:r>
      <w:r w:rsidR="00D93E05">
        <w:t>are faced with the choice of either surcharging for credit or else raising prices on all consumers regardless of payment type.</w:t>
      </w:r>
    </w:p>
    <w:p w14:paraId="5A3AD904" w14:textId="70966BEA" w:rsidR="007E53C9" w:rsidRDefault="007E53C9" w:rsidP="00DC709C"/>
    <w:p w14:paraId="47EABABB" w14:textId="6C6C3ED6" w:rsidR="00DC709C" w:rsidRPr="00FE723F" w:rsidRDefault="00DC709C" w:rsidP="00DC709C">
      <w:pPr>
        <w:rPr>
          <w:rFonts w:ascii="Arial Black" w:hAnsi="Arial Black"/>
          <w:sz w:val="28"/>
          <w:szCs w:val="28"/>
        </w:rPr>
      </w:pPr>
      <w:r w:rsidRPr="00FE723F">
        <w:rPr>
          <w:rFonts w:ascii="Arial Black" w:hAnsi="Arial Black"/>
          <w:sz w:val="28"/>
          <w:szCs w:val="28"/>
        </w:rPr>
        <w:t>Pretends to Deliver Benefits that Aren’t Real</w:t>
      </w:r>
    </w:p>
    <w:p w14:paraId="24BD93B5" w14:textId="77777777" w:rsidR="000763D2" w:rsidRPr="00DC709C" w:rsidRDefault="000763D2" w:rsidP="00DC709C">
      <w:pPr>
        <w:rPr>
          <w:u w:val="single"/>
        </w:rPr>
      </w:pPr>
    </w:p>
    <w:p w14:paraId="0E4AB48C" w14:textId="77777777" w:rsidR="00DC709C" w:rsidRDefault="00A44902" w:rsidP="005C5EDA">
      <w:pPr>
        <w:pStyle w:val="ListParagraph"/>
        <w:numPr>
          <w:ilvl w:val="0"/>
          <w:numId w:val="2"/>
        </w:numPr>
      </w:pPr>
      <w:r>
        <w:t xml:space="preserve">The proposed settlement permits </w:t>
      </w:r>
      <w:r w:rsidR="00372B69">
        <w:t xml:space="preserve">merchants to organize buying groups to negotiate fees with Visa and Mastercard, but </w:t>
      </w:r>
      <w:r w:rsidR="00DC709C">
        <w:t xml:space="preserve">merchants already have the right under the antitrust laws to do that today. </w:t>
      </w:r>
    </w:p>
    <w:p w14:paraId="494F5384" w14:textId="297CF848" w:rsidR="00DC709C" w:rsidRDefault="00DC709C" w:rsidP="005C5EDA">
      <w:pPr>
        <w:pStyle w:val="ListParagraph"/>
        <w:numPr>
          <w:ilvl w:val="0"/>
          <w:numId w:val="2"/>
        </w:numPr>
      </w:pPr>
      <w:r>
        <w:t>The settlement adds nothing.</w:t>
      </w:r>
      <w:r w:rsidR="001F20BC">
        <w:t xml:space="preserve"> It does not require Visa and Mastercard to agree to anything </w:t>
      </w:r>
      <w:r w:rsidR="001C49E8">
        <w:t>with</w:t>
      </w:r>
      <w:r w:rsidR="001F20BC">
        <w:t xml:space="preserve"> buying groups.</w:t>
      </w:r>
    </w:p>
    <w:p w14:paraId="7B836DF4" w14:textId="70AA4BC3" w:rsidR="00DC709C" w:rsidRDefault="00DC709C" w:rsidP="005C5EDA">
      <w:pPr>
        <w:pStyle w:val="ListParagraph"/>
        <w:numPr>
          <w:ilvl w:val="0"/>
          <w:numId w:val="2"/>
        </w:numPr>
      </w:pPr>
      <w:r>
        <w:t xml:space="preserve">Merchants don’t form buying groups today because Visa and Mastercard have such </w:t>
      </w:r>
      <w:r w:rsidR="001F20BC">
        <w:t xml:space="preserve">dominant market </w:t>
      </w:r>
      <w:r>
        <w:t>power that they don’t need to deal with buying groups.</w:t>
      </w:r>
    </w:p>
    <w:p w14:paraId="2B82BDE8" w14:textId="5FA81626" w:rsidR="00A44902" w:rsidRDefault="00DC709C" w:rsidP="005C5EDA">
      <w:pPr>
        <w:pStyle w:val="ListParagraph"/>
        <w:numPr>
          <w:ilvl w:val="0"/>
          <w:numId w:val="2"/>
        </w:numPr>
      </w:pPr>
      <w:r>
        <w:t xml:space="preserve">Nothing in the settlement gives merchants </w:t>
      </w:r>
      <w:r w:rsidR="00A23B7D">
        <w:t>enough</w:t>
      </w:r>
      <w:r>
        <w:t xml:space="preserve"> leverage or credit card companies </w:t>
      </w:r>
      <w:r w:rsidR="0058574B">
        <w:t>enough</w:t>
      </w:r>
      <w:r>
        <w:t xml:space="preserve"> reason to negotiate. </w:t>
      </w:r>
    </w:p>
    <w:p w14:paraId="23B81BA8" w14:textId="64434D57" w:rsidR="00ED2843" w:rsidRDefault="00ED2843" w:rsidP="00CA3546"/>
    <w:p w14:paraId="4A8B5D58" w14:textId="7E87C5A5" w:rsidR="00961B54" w:rsidRPr="00FE723F" w:rsidRDefault="00961B54" w:rsidP="00CA3546">
      <w:pPr>
        <w:rPr>
          <w:rFonts w:ascii="Arial Black" w:hAnsi="Arial Black"/>
          <w:sz w:val="28"/>
          <w:szCs w:val="28"/>
        </w:rPr>
      </w:pPr>
      <w:r w:rsidRPr="00FE723F">
        <w:rPr>
          <w:rFonts w:ascii="Arial Black" w:hAnsi="Arial Black"/>
          <w:sz w:val="28"/>
          <w:szCs w:val="28"/>
        </w:rPr>
        <w:t>How Could This Happen? Didn’t Merchants Agree to It?</w:t>
      </w:r>
    </w:p>
    <w:p w14:paraId="1E37812E" w14:textId="77777777" w:rsidR="00961B54" w:rsidRDefault="00961B54" w:rsidP="00CA3546"/>
    <w:p w14:paraId="4BF56B39" w14:textId="2856FF2E" w:rsidR="00961B54" w:rsidRDefault="00961B54" w:rsidP="00961B54">
      <w:pPr>
        <w:pStyle w:val="ListParagraph"/>
        <w:numPr>
          <w:ilvl w:val="0"/>
          <w:numId w:val="7"/>
        </w:numPr>
      </w:pPr>
      <w:r>
        <w:t>No, merchants did not agree to this settlement.</w:t>
      </w:r>
    </w:p>
    <w:p w14:paraId="0486AD41" w14:textId="2FB763D0" w:rsidR="00961B54" w:rsidRDefault="00961B54" w:rsidP="00961B54">
      <w:pPr>
        <w:pStyle w:val="ListParagraph"/>
        <w:numPr>
          <w:ilvl w:val="0"/>
          <w:numId w:val="7"/>
        </w:numPr>
      </w:pPr>
      <w:r>
        <w:t>All the major trade groups representing merchants – including NFIB, FMI, National Association of Convenience Stores, National Grocers Association, National Restaurant Association, National Retail Federation, Retail Industry Leaders Association, and others – oppose the settlement.</w:t>
      </w:r>
    </w:p>
    <w:p w14:paraId="365696BB" w14:textId="46562F07" w:rsidR="00961B54" w:rsidRDefault="00961B54" w:rsidP="00961B54">
      <w:pPr>
        <w:pStyle w:val="ListParagraph"/>
        <w:numPr>
          <w:ilvl w:val="0"/>
          <w:numId w:val="7"/>
        </w:numPr>
      </w:pPr>
      <w:r>
        <w:t>Merchants opposed the court’s appointment of the class action trial lawyers who agreed to this deal and merchants opposed the trial lawyers’ bid to prohibit any merchants from opting out of being represented by those lawyers.</w:t>
      </w:r>
    </w:p>
    <w:p w14:paraId="6AC0F53D" w14:textId="7CBC0695" w:rsidR="00961B54" w:rsidRDefault="00961B54" w:rsidP="00961B54">
      <w:pPr>
        <w:pStyle w:val="ListParagraph"/>
        <w:numPr>
          <w:ilvl w:val="0"/>
          <w:numId w:val="7"/>
        </w:numPr>
      </w:pPr>
      <w:r>
        <w:t xml:space="preserve">This is a bad settlement that delivers a </w:t>
      </w:r>
      <w:r w:rsidR="00D93E05">
        <w:t xml:space="preserve">$206,000,000 </w:t>
      </w:r>
      <w:r>
        <w:t>payday for the</w:t>
      </w:r>
      <w:r w:rsidR="00D93E05">
        <w:t xml:space="preserve"> negotiating lawyers</w:t>
      </w:r>
      <w:r>
        <w:t xml:space="preserve"> but doesn’t </w:t>
      </w:r>
      <w:r w:rsidR="00D93E05">
        <w:t xml:space="preserve">remotely </w:t>
      </w:r>
      <w:r>
        <w:t>fix the problem</w:t>
      </w:r>
      <w:r w:rsidR="00D93E05">
        <w:t xml:space="preserve"> for merchants or consumers</w:t>
      </w:r>
      <w:r>
        <w:t>.</w:t>
      </w:r>
    </w:p>
    <w:p w14:paraId="6436BC62" w14:textId="70E1652C" w:rsidR="00961B54" w:rsidRPr="00961B54" w:rsidRDefault="00961B54" w:rsidP="00961B54">
      <w:pPr>
        <w:pStyle w:val="ListParagraph"/>
        <w:numPr>
          <w:ilvl w:val="0"/>
          <w:numId w:val="7"/>
        </w:numPr>
      </w:pPr>
      <w:r>
        <w:t>More than anything else, this shows that legislation is needed to deal with this problem.</w:t>
      </w:r>
    </w:p>
    <w:p w14:paraId="26FC3391" w14:textId="77777777" w:rsidR="000E048F" w:rsidRDefault="000E048F" w:rsidP="00CA3546">
      <w:pPr>
        <w:rPr>
          <w:b/>
          <w:bCs/>
          <w:u w:val="single"/>
        </w:rPr>
      </w:pPr>
    </w:p>
    <w:p w14:paraId="17B3D798" w14:textId="7CBA2C70" w:rsidR="008F0671" w:rsidRDefault="008F0671" w:rsidP="008F0671">
      <w:pPr>
        <w:jc w:val="center"/>
        <w:rPr>
          <w:b/>
          <w:bCs/>
          <w:u w:val="single"/>
        </w:rPr>
      </w:pPr>
      <w:r>
        <w:rPr>
          <w:b/>
          <w:bCs/>
          <w:u w:val="single"/>
        </w:rPr>
        <w:t xml:space="preserve">Main Street and Consumers Need </w:t>
      </w:r>
      <w:r w:rsidR="009551DB">
        <w:rPr>
          <w:b/>
          <w:bCs/>
          <w:u w:val="single"/>
        </w:rPr>
        <w:t xml:space="preserve">a </w:t>
      </w:r>
      <w:r>
        <w:rPr>
          <w:b/>
          <w:bCs/>
          <w:u w:val="single"/>
        </w:rPr>
        <w:t>Competiti</w:t>
      </w:r>
      <w:r w:rsidR="009551DB">
        <w:rPr>
          <w:b/>
          <w:bCs/>
          <w:u w:val="single"/>
        </w:rPr>
        <w:t>ve Market</w:t>
      </w:r>
    </w:p>
    <w:p w14:paraId="3A5C48AE" w14:textId="2624D8F7" w:rsidR="009551DB" w:rsidRDefault="009551DB" w:rsidP="008F0671">
      <w:pPr>
        <w:jc w:val="center"/>
        <w:rPr>
          <w:b/>
          <w:bCs/>
          <w:u w:val="single"/>
        </w:rPr>
      </w:pPr>
      <w:r>
        <w:rPr>
          <w:b/>
          <w:bCs/>
          <w:u w:val="single"/>
        </w:rPr>
        <w:t>The Proposed Settlement Won’t Deliver</w:t>
      </w:r>
      <w:r w:rsidR="009F15F0">
        <w:rPr>
          <w:b/>
          <w:bCs/>
          <w:u w:val="single"/>
        </w:rPr>
        <w:t xml:space="preserve"> </w:t>
      </w:r>
      <w:r w:rsidR="001F20BC">
        <w:rPr>
          <w:b/>
          <w:bCs/>
          <w:u w:val="single"/>
        </w:rPr>
        <w:t>T</w:t>
      </w:r>
      <w:r w:rsidR="009F15F0">
        <w:rPr>
          <w:b/>
          <w:bCs/>
          <w:u w:val="single"/>
        </w:rPr>
        <w:t>hat</w:t>
      </w:r>
    </w:p>
    <w:p w14:paraId="602679E5" w14:textId="662E4A93" w:rsidR="009F15F0" w:rsidRPr="008F0671" w:rsidRDefault="001F20BC" w:rsidP="008F0671">
      <w:pPr>
        <w:jc w:val="center"/>
        <w:rPr>
          <w:b/>
          <w:bCs/>
          <w:u w:val="single"/>
        </w:rPr>
      </w:pPr>
      <w:r>
        <w:rPr>
          <w:b/>
          <w:bCs/>
          <w:u w:val="single"/>
        </w:rPr>
        <w:t xml:space="preserve">It’s </w:t>
      </w:r>
      <w:r w:rsidR="009F15F0">
        <w:rPr>
          <w:b/>
          <w:bCs/>
          <w:u w:val="single"/>
        </w:rPr>
        <w:t>Time to Pass the Credit Card Competition Act</w:t>
      </w:r>
    </w:p>
    <w:p w14:paraId="29637989" w14:textId="65F3B022" w:rsidR="005C5EDA" w:rsidRDefault="005C5EDA" w:rsidP="00DC709C">
      <w:pPr>
        <w:pStyle w:val="ListParagraph"/>
        <w:ind w:left="360"/>
      </w:pPr>
    </w:p>
    <w:sectPr w:rsidR="005C5EDA" w:rsidSect="00B84A3B">
      <w:footerReference w:type="default" r:id="rId7"/>
      <w:pgSz w:w="12240" w:h="15840"/>
      <w:pgMar w:top="810" w:right="1440" w:bottom="99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21149" w14:textId="77777777" w:rsidR="001F0514" w:rsidRDefault="001F0514" w:rsidP="00BD4D69">
      <w:r>
        <w:separator/>
      </w:r>
    </w:p>
  </w:endnote>
  <w:endnote w:type="continuationSeparator" w:id="0">
    <w:p w14:paraId="5BC3DEE3" w14:textId="77777777" w:rsidR="001F0514" w:rsidRDefault="001F0514" w:rsidP="00BD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450313"/>
      <w:docPartObj>
        <w:docPartGallery w:val="Page Numbers (Bottom of Page)"/>
        <w:docPartUnique/>
      </w:docPartObj>
    </w:sdtPr>
    <w:sdtEndPr>
      <w:rPr>
        <w:noProof/>
      </w:rPr>
    </w:sdtEndPr>
    <w:sdtContent>
      <w:p w14:paraId="5AC54C5E" w14:textId="6B16D67F" w:rsidR="00BD4D69" w:rsidRDefault="00BD4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F55441" w14:textId="77777777" w:rsidR="00BD4D69" w:rsidRDefault="00BD4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F8743" w14:textId="77777777" w:rsidR="001F0514" w:rsidRDefault="001F0514" w:rsidP="00BD4D69">
      <w:r>
        <w:separator/>
      </w:r>
    </w:p>
  </w:footnote>
  <w:footnote w:type="continuationSeparator" w:id="0">
    <w:p w14:paraId="5E678639" w14:textId="77777777" w:rsidR="001F0514" w:rsidRDefault="001F0514" w:rsidP="00BD4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225"/>
    <w:multiLevelType w:val="hybridMultilevel"/>
    <w:tmpl w:val="FB2A2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2D4826"/>
    <w:multiLevelType w:val="hybridMultilevel"/>
    <w:tmpl w:val="544C4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366C5E"/>
    <w:multiLevelType w:val="hybridMultilevel"/>
    <w:tmpl w:val="306E6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D8504C7"/>
    <w:multiLevelType w:val="hybridMultilevel"/>
    <w:tmpl w:val="E806E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8C633E5"/>
    <w:multiLevelType w:val="hybridMultilevel"/>
    <w:tmpl w:val="18EEA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4265220">
    <w:abstractNumId w:val="4"/>
  </w:num>
  <w:num w:numId="2" w16cid:durableId="198126680">
    <w:abstractNumId w:val="3"/>
  </w:num>
  <w:num w:numId="3" w16cid:durableId="480660228">
    <w:abstractNumId w:val="0"/>
  </w:num>
  <w:num w:numId="4" w16cid:durableId="988751525">
    <w:abstractNumId w:val="1"/>
  </w:num>
  <w:num w:numId="5" w16cid:durableId="1651251565">
    <w:abstractNumId w:val="1"/>
  </w:num>
  <w:num w:numId="6" w16cid:durableId="1347708079">
    <w:abstractNumId w:val="3"/>
  </w:num>
  <w:num w:numId="7" w16cid:durableId="1416782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8F"/>
    <w:rsid w:val="000112DE"/>
    <w:rsid w:val="00011D9D"/>
    <w:rsid w:val="00034F9A"/>
    <w:rsid w:val="000763D2"/>
    <w:rsid w:val="000D02C3"/>
    <w:rsid w:val="000E048F"/>
    <w:rsid w:val="00111F18"/>
    <w:rsid w:val="0012728B"/>
    <w:rsid w:val="001C49E8"/>
    <w:rsid w:val="001D649B"/>
    <w:rsid w:val="001E5049"/>
    <w:rsid w:val="001F0514"/>
    <w:rsid w:val="001F20BC"/>
    <w:rsid w:val="00221A44"/>
    <w:rsid w:val="002408FF"/>
    <w:rsid w:val="00372B69"/>
    <w:rsid w:val="003B6EAE"/>
    <w:rsid w:val="003B75B7"/>
    <w:rsid w:val="003F0E90"/>
    <w:rsid w:val="004132CB"/>
    <w:rsid w:val="00415BC3"/>
    <w:rsid w:val="0042326A"/>
    <w:rsid w:val="004317D5"/>
    <w:rsid w:val="00450087"/>
    <w:rsid w:val="00475B37"/>
    <w:rsid w:val="004D174B"/>
    <w:rsid w:val="005170F3"/>
    <w:rsid w:val="00534366"/>
    <w:rsid w:val="005406AC"/>
    <w:rsid w:val="00551D2E"/>
    <w:rsid w:val="00563DFC"/>
    <w:rsid w:val="005847A4"/>
    <w:rsid w:val="0058574B"/>
    <w:rsid w:val="005C5EDA"/>
    <w:rsid w:val="00683B82"/>
    <w:rsid w:val="006C6A80"/>
    <w:rsid w:val="006D148F"/>
    <w:rsid w:val="006F01E9"/>
    <w:rsid w:val="007308C0"/>
    <w:rsid w:val="00756208"/>
    <w:rsid w:val="007579D6"/>
    <w:rsid w:val="007C7366"/>
    <w:rsid w:val="007E53C9"/>
    <w:rsid w:val="0080718E"/>
    <w:rsid w:val="00845C98"/>
    <w:rsid w:val="00866679"/>
    <w:rsid w:val="008B14DE"/>
    <w:rsid w:val="008C6735"/>
    <w:rsid w:val="008F0671"/>
    <w:rsid w:val="0091505A"/>
    <w:rsid w:val="009455FB"/>
    <w:rsid w:val="009551DB"/>
    <w:rsid w:val="00961B54"/>
    <w:rsid w:val="0099541C"/>
    <w:rsid w:val="00996656"/>
    <w:rsid w:val="009A380B"/>
    <w:rsid w:val="009E0BD5"/>
    <w:rsid w:val="009F11E2"/>
    <w:rsid w:val="009F15F0"/>
    <w:rsid w:val="00A20F85"/>
    <w:rsid w:val="00A23B7D"/>
    <w:rsid w:val="00A25BDA"/>
    <w:rsid w:val="00A44902"/>
    <w:rsid w:val="00A53913"/>
    <w:rsid w:val="00A93AAC"/>
    <w:rsid w:val="00AA0126"/>
    <w:rsid w:val="00AC7525"/>
    <w:rsid w:val="00AF0C21"/>
    <w:rsid w:val="00AF37AE"/>
    <w:rsid w:val="00B03D82"/>
    <w:rsid w:val="00B16F38"/>
    <w:rsid w:val="00B20710"/>
    <w:rsid w:val="00B84A3B"/>
    <w:rsid w:val="00BB53AF"/>
    <w:rsid w:val="00BD4D69"/>
    <w:rsid w:val="00C47DA5"/>
    <w:rsid w:val="00C50957"/>
    <w:rsid w:val="00C5162D"/>
    <w:rsid w:val="00C83702"/>
    <w:rsid w:val="00C86BA4"/>
    <w:rsid w:val="00CA3546"/>
    <w:rsid w:val="00CC2956"/>
    <w:rsid w:val="00CD5E1E"/>
    <w:rsid w:val="00D55035"/>
    <w:rsid w:val="00D93E05"/>
    <w:rsid w:val="00DC709C"/>
    <w:rsid w:val="00DD0B1D"/>
    <w:rsid w:val="00E05E69"/>
    <w:rsid w:val="00E16174"/>
    <w:rsid w:val="00E438C6"/>
    <w:rsid w:val="00E904D8"/>
    <w:rsid w:val="00ED2843"/>
    <w:rsid w:val="00F11447"/>
    <w:rsid w:val="00F32C1E"/>
    <w:rsid w:val="00F73562"/>
    <w:rsid w:val="00FA0ED0"/>
    <w:rsid w:val="00FA3416"/>
    <w:rsid w:val="00FA76B4"/>
    <w:rsid w:val="00FB5BD8"/>
    <w:rsid w:val="00FC4010"/>
    <w:rsid w:val="00FE723F"/>
    <w:rsid w:val="00FF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9259"/>
  <w15:chartTrackingRefBased/>
  <w15:docId w15:val="{7BC104A9-5A8E-46E3-A295-A6DC49B6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4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4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14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148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148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148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148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4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4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4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4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14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14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14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14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14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14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48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4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14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148F"/>
    <w:rPr>
      <w:i/>
      <w:iCs/>
      <w:color w:val="404040" w:themeColor="text1" w:themeTint="BF"/>
    </w:rPr>
  </w:style>
  <w:style w:type="paragraph" w:styleId="ListParagraph">
    <w:name w:val="List Paragraph"/>
    <w:basedOn w:val="Normal"/>
    <w:uiPriority w:val="34"/>
    <w:qFormat/>
    <w:rsid w:val="006D148F"/>
    <w:pPr>
      <w:ind w:left="720"/>
      <w:contextualSpacing/>
    </w:pPr>
  </w:style>
  <w:style w:type="character" w:styleId="IntenseEmphasis">
    <w:name w:val="Intense Emphasis"/>
    <w:basedOn w:val="DefaultParagraphFont"/>
    <w:uiPriority w:val="21"/>
    <w:qFormat/>
    <w:rsid w:val="006D148F"/>
    <w:rPr>
      <w:i/>
      <w:iCs/>
      <w:color w:val="0F4761" w:themeColor="accent1" w:themeShade="BF"/>
    </w:rPr>
  </w:style>
  <w:style w:type="paragraph" w:styleId="IntenseQuote">
    <w:name w:val="Intense Quote"/>
    <w:basedOn w:val="Normal"/>
    <w:next w:val="Normal"/>
    <w:link w:val="IntenseQuoteChar"/>
    <w:uiPriority w:val="30"/>
    <w:qFormat/>
    <w:rsid w:val="006D1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48F"/>
    <w:rPr>
      <w:i/>
      <w:iCs/>
      <w:color w:val="0F4761" w:themeColor="accent1" w:themeShade="BF"/>
    </w:rPr>
  </w:style>
  <w:style w:type="character" w:styleId="IntenseReference">
    <w:name w:val="Intense Reference"/>
    <w:basedOn w:val="DefaultParagraphFont"/>
    <w:uiPriority w:val="32"/>
    <w:qFormat/>
    <w:rsid w:val="006D148F"/>
    <w:rPr>
      <w:b/>
      <w:bCs/>
      <w:smallCaps/>
      <w:color w:val="0F4761" w:themeColor="accent1" w:themeShade="BF"/>
      <w:spacing w:val="5"/>
    </w:rPr>
  </w:style>
  <w:style w:type="character" w:styleId="Hyperlink">
    <w:name w:val="Hyperlink"/>
    <w:basedOn w:val="DefaultParagraphFont"/>
    <w:uiPriority w:val="99"/>
    <w:unhideWhenUsed/>
    <w:rsid w:val="00011D9D"/>
    <w:rPr>
      <w:color w:val="467886" w:themeColor="hyperlink"/>
      <w:u w:val="single"/>
    </w:rPr>
  </w:style>
  <w:style w:type="character" w:styleId="UnresolvedMention">
    <w:name w:val="Unresolved Mention"/>
    <w:basedOn w:val="DefaultParagraphFont"/>
    <w:uiPriority w:val="99"/>
    <w:semiHidden/>
    <w:unhideWhenUsed/>
    <w:rsid w:val="00011D9D"/>
    <w:rPr>
      <w:color w:val="605E5C"/>
      <w:shd w:val="clear" w:color="auto" w:fill="E1DFDD"/>
    </w:rPr>
  </w:style>
  <w:style w:type="paragraph" w:styleId="Revision">
    <w:name w:val="Revision"/>
    <w:hidden/>
    <w:uiPriority w:val="99"/>
    <w:semiHidden/>
    <w:rsid w:val="00756208"/>
  </w:style>
  <w:style w:type="paragraph" w:styleId="Header">
    <w:name w:val="header"/>
    <w:basedOn w:val="Normal"/>
    <w:link w:val="HeaderChar"/>
    <w:uiPriority w:val="99"/>
    <w:unhideWhenUsed/>
    <w:rsid w:val="00BD4D69"/>
    <w:pPr>
      <w:tabs>
        <w:tab w:val="center" w:pos="4680"/>
        <w:tab w:val="right" w:pos="9360"/>
      </w:tabs>
    </w:pPr>
  </w:style>
  <w:style w:type="character" w:customStyle="1" w:styleId="HeaderChar">
    <w:name w:val="Header Char"/>
    <w:basedOn w:val="DefaultParagraphFont"/>
    <w:link w:val="Header"/>
    <w:uiPriority w:val="99"/>
    <w:rsid w:val="00BD4D69"/>
  </w:style>
  <w:style w:type="paragraph" w:styleId="Footer">
    <w:name w:val="footer"/>
    <w:basedOn w:val="Normal"/>
    <w:link w:val="FooterChar"/>
    <w:uiPriority w:val="99"/>
    <w:unhideWhenUsed/>
    <w:rsid w:val="00BD4D69"/>
    <w:pPr>
      <w:tabs>
        <w:tab w:val="center" w:pos="4680"/>
        <w:tab w:val="right" w:pos="9360"/>
      </w:tabs>
    </w:pPr>
  </w:style>
  <w:style w:type="character" w:customStyle="1" w:styleId="FooterChar">
    <w:name w:val="Footer Char"/>
    <w:basedOn w:val="DefaultParagraphFont"/>
    <w:link w:val="Footer"/>
    <w:uiPriority w:val="99"/>
    <w:rsid w:val="00BD4D69"/>
  </w:style>
  <w:style w:type="paragraph" w:styleId="CommentText">
    <w:name w:val="annotation text"/>
    <w:basedOn w:val="Normal"/>
    <w:link w:val="CommentTextChar"/>
    <w:uiPriority w:val="99"/>
    <w:unhideWhenUsed/>
    <w:rsid w:val="000E048F"/>
    <w:rPr>
      <w:sz w:val="20"/>
      <w:szCs w:val="20"/>
    </w:rPr>
  </w:style>
  <w:style w:type="character" w:customStyle="1" w:styleId="CommentTextChar">
    <w:name w:val="Comment Text Char"/>
    <w:basedOn w:val="DefaultParagraphFont"/>
    <w:link w:val="CommentText"/>
    <w:uiPriority w:val="99"/>
    <w:rsid w:val="000E048F"/>
    <w:rPr>
      <w:sz w:val="20"/>
      <w:szCs w:val="20"/>
    </w:rPr>
  </w:style>
  <w:style w:type="character" w:styleId="CommentReference">
    <w:name w:val="annotation reference"/>
    <w:basedOn w:val="DefaultParagraphFont"/>
    <w:uiPriority w:val="99"/>
    <w:semiHidden/>
    <w:unhideWhenUsed/>
    <w:rsid w:val="000E048F"/>
    <w:rPr>
      <w:sz w:val="16"/>
      <w:szCs w:val="16"/>
    </w:rPr>
  </w:style>
  <w:style w:type="paragraph" w:styleId="CommentSubject">
    <w:name w:val="annotation subject"/>
    <w:basedOn w:val="CommentText"/>
    <w:next w:val="CommentText"/>
    <w:link w:val="CommentSubjectChar"/>
    <w:uiPriority w:val="99"/>
    <w:semiHidden/>
    <w:unhideWhenUsed/>
    <w:rsid w:val="000E048F"/>
    <w:rPr>
      <w:b/>
      <w:bCs/>
    </w:rPr>
  </w:style>
  <w:style w:type="character" w:customStyle="1" w:styleId="CommentSubjectChar">
    <w:name w:val="Comment Subject Char"/>
    <w:basedOn w:val="CommentTextChar"/>
    <w:link w:val="CommentSubject"/>
    <w:uiPriority w:val="99"/>
    <w:semiHidden/>
    <w:rsid w:val="000E04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swanson</dc:creator>
  <cp:keywords/>
  <dc:description/>
  <cp:lastModifiedBy>Marty Maciaszek</cp:lastModifiedBy>
  <cp:revision>2</cp:revision>
  <dcterms:created xsi:type="dcterms:W3CDTF">2025-12-05T19:30:00Z</dcterms:created>
  <dcterms:modified xsi:type="dcterms:W3CDTF">2025-12-05T19:30:00Z</dcterms:modified>
</cp:coreProperties>
</file>