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F960" w14:textId="77777777" w:rsidR="00DF766A" w:rsidRPr="0001362D" w:rsidRDefault="00DF766A" w:rsidP="004C6403">
      <w:pPr>
        <w:rPr>
          <w:rFonts w:ascii="Aptos" w:hAnsi="Aptos"/>
          <w:b/>
          <w:bCs/>
          <w:i/>
          <w:iCs/>
          <w:sz w:val="24"/>
          <w:szCs w:val="24"/>
        </w:rPr>
      </w:pPr>
    </w:p>
    <w:p w14:paraId="51E57B7D" w14:textId="7967DB5F" w:rsidR="0001362D" w:rsidRPr="0001362D" w:rsidRDefault="0001362D" w:rsidP="0001362D">
      <w:pPr>
        <w:pStyle w:val="Header"/>
        <w:rPr>
          <w:rFonts w:ascii="Aptos" w:hAnsi="Aptos"/>
          <w:b/>
          <w:bCs/>
          <w:i/>
          <w:iCs/>
          <w:sz w:val="24"/>
          <w:szCs w:val="24"/>
        </w:rPr>
      </w:pPr>
      <w:r w:rsidRPr="0001362D">
        <w:rPr>
          <w:rFonts w:ascii="Aptos" w:hAnsi="Aptos"/>
          <w:b/>
          <w:bCs/>
          <w:i/>
          <w:iCs/>
          <w:sz w:val="24"/>
          <w:szCs w:val="24"/>
        </w:rPr>
        <w:t xml:space="preserve">This information is prepared by the Merchants Payments Coalition (MPC). NSGA is a member of the MPC. </w:t>
      </w:r>
      <w:r w:rsidR="00177B36">
        <w:rPr>
          <w:rFonts w:ascii="Aptos" w:hAnsi="Aptos"/>
          <w:b/>
          <w:bCs/>
          <w:i/>
          <w:iCs/>
          <w:sz w:val="24"/>
          <w:szCs w:val="24"/>
        </w:rPr>
        <w:t>M</w:t>
      </w:r>
      <w:r w:rsidRPr="0001362D">
        <w:rPr>
          <w:rFonts w:ascii="Aptos" w:hAnsi="Aptos"/>
          <w:b/>
          <w:bCs/>
          <w:i/>
          <w:iCs/>
          <w:sz w:val="24"/>
          <w:szCs w:val="24"/>
        </w:rPr>
        <w:t xml:space="preserve">ore information can be found at </w:t>
      </w:r>
      <w:hyperlink r:id="rId7" w:history="1">
        <w:r w:rsidRPr="0001362D">
          <w:rPr>
            <w:rStyle w:val="Hyperlink"/>
            <w:rFonts w:ascii="Aptos" w:hAnsi="Aptos"/>
            <w:b/>
            <w:bCs/>
            <w:i/>
            <w:iCs/>
            <w:sz w:val="24"/>
            <w:szCs w:val="24"/>
          </w:rPr>
          <w:t>merchantspaymentscoalition.com</w:t>
        </w:r>
      </w:hyperlink>
      <w:r w:rsidRPr="0001362D">
        <w:rPr>
          <w:rFonts w:ascii="Aptos" w:hAnsi="Aptos"/>
          <w:b/>
          <w:bCs/>
          <w:i/>
          <w:iCs/>
          <w:sz w:val="24"/>
          <w:szCs w:val="24"/>
        </w:rPr>
        <w:t>.</w:t>
      </w:r>
    </w:p>
    <w:p w14:paraId="07E83F4E" w14:textId="77777777" w:rsidR="0001362D" w:rsidRPr="0001362D" w:rsidRDefault="0001362D" w:rsidP="0001362D">
      <w:pPr>
        <w:pStyle w:val="Header"/>
        <w:rPr>
          <w:rFonts w:ascii="Aptos" w:hAnsi="Aptos"/>
          <w:b/>
          <w:bCs/>
          <w:i/>
          <w:iCs/>
          <w:sz w:val="24"/>
          <w:szCs w:val="24"/>
        </w:rPr>
      </w:pPr>
    </w:p>
    <w:p w14:paraId="3F8DA01D" w14:textId="2E31B3A3" w:rsidR="0001362D" w:rsidRPr="00DF766A" w:rsidRDefault="0001362D" w:rsidP="0001362D">
      <w:pPr>
        <w:pStyle w:val="Header"/>
        <w:rPr>
          <w:rFonts w:ascii="Aptos" w:hAnsi="Aptos"/>
          <w:b/>
          <w:bCs/>
          <w:i/>
          <w:iCs/>
          <w:sz w:val="24"/>
          <w:szCs w:val="24"/>
        </w:rPr>
      </w:pPr>
      <w:r w:rsidRPr="0001362D">
        <w:rPr>
          <w:rFonts w:ascii="Aptos" w:hAnsi="Aptos"/>
          <w:b/>
          <w:bCs/>
          <w:i/>
          <w:iCs/>
          <w:sz w:val="24"/>
          <w:szCs w:val="24"/>
        </w:rPr>
        <w:t>Th</w:t>
      </w:r>
      <w:r w:rsidR="00177B36">
        <w:rPr>
          <w:rFonts w:ascii="Aptos" w:hAnsi="Aptos"/>
          <w:b/>
          <w:bCs/>
          <w:i/>
          <w:iCs/>
          <w:sz w:val="24"/>
          <w:szCs w:val="24"/>
        </w:rPr>
        <w:t>e</w:t>
      </w:r>
      <w:r w:rsidRPr="0001362D">
        <w:rPr>
          <w:rFonts w:ascii="Aptos" w:hAnsi="Aptos"/>
          <w:b/>
          <w:bCs/>
          <w:i/>
          <w:iCs/>
          <w:sz w:val="24"/>
          <w:szCs w:val="24"/>
        </w:rPr>
        <w:t xml:space="preserve"> information</w:t>
      </w:r>
      <w:r w:rsidR="00177B36">
        <w:rPr>
          <w:rFonts w:ascii="Aptos" w:hAnsi="Aptos"/>
          <w:b/>
          <w:bCs/>
          <w:i/>
          <w:iCs/>
          <w:sz w:val="24"/>
          <w:szCs w:val="24"/>
        </w:rPr>
        <w:t xml:space="preserve"> below</w:t>
      </w:r>
      <w:r w:rsidRPr="0001362D">
        <w:rPr>
          <w:rFonts w:ascii="Aptos" w:hAnsi="Aptos"/>
          <w:b/>
          <w:bCs/>
          <w:i/>
          <w:iCs/>
          <w:sz w:val="24"/>
          <w:szCs w:val="24"/>
        </w:rPr>
        <w:t xml:space="preserve"> can be repurposed with your company’s information to file an objection to the proposed settlement in the antitrust litigation over Visa and Mastercard’s credit card “swipe” fee practices.</w:t>
      </w:r>
    </w:p>
    <w:p w14:paraId="687B0115" w14:textId="77777777" w:rsidR="0001362D" w:rsidRDefault="0001362D" w:rsidP="004C6403">
      <w:pPr>
        <w:rPr>
          <w:rFonts w:ascii="Aptos" w:hAnsi="Aptos"/>
        </w:rPr>
      </w:pPr>
    </w:p>
    <w:p w14:paraId="35DFD8D2" w14:textId="77777777" w:rsidR="0001362D" w:rsidRDefault="0001362D" w:rsidP="004C6403">
      <w:pPr>
        <w:rPr>
          <w:rFonts w:ascii="Aptos" w:hAnsi="Aptos"/>
        </w:rPr>
      </w:pPr>
    </w:p>
    <w:p w14:paraId="75C4C20A" w14:textId="77777777" w:rsidR="00DF766A" w:rsidRDefault="00DF766A" w:rsidP="004C6403">
      <w:pPr>
        <w:rPr>
          <w:rFonts w:ascii="Aptos" w:hAnsi="Aptos"/>
        </w:rPr>
      </w:pPr>
    </w:p>
    <w:p w14:paraId="41C5BCE8" w14:textId="232FA474" w:rsidR="004C6403" w:rsidRDefault="004C6403" w:rsidP="004C6403">
      <w:pPr>
        <w:rPr>
          <w:rFonts w:ascii="Aptos" w:hAnsi="Aptos"/>
        </w:rPr>
      </w:pPr>
      <w:r>
        <w:rPr>
          <w:rFonts w:ascii="Aptos" w:hAnsi="Aptos"/>
        </w:rPr>
        <w:t>UNITED STATES DISTRICT COURT</w:t>
      </w:r>
      <w:r w:rsidR="00E32231">
        <w:rPr>
          <w:rFonts w:ascii="Aptos" w:hAnsi="Aptos"/>
        </w:rPr>
        <w:tab/>
      </w:r>
      <w:r w:rsidR="00E32231">
        <w:rPr>
          <w:rFonts w:ascii="Aptos" w:hAnsi="Aptos"/>
        </w:rPr>
        <w:tab/>
      </w:r>
      <w:r>
        <w:rPr>
          <w:rFonts w:ascii="Aptos" w:hAnsi="Aptos"/>
        </w:rPr>
        <w:t>:</w:t>
      </w:r>
    </w:p>
    <w:p w14:paraId="59ECF9DB" w14:textId="3C600DE3" w:rsidR="004C6403" w:rsidRDefault="004C6403" w:rsidP="004C6403">
      <w:pPr>
        <w:rPr>
          <w:rFonts w:ascii="Aptos" w:hAnsi="Aptos"/>
        </w:rPr>
      </w:pPr>
      <w:r>
        <w:rPr>
          <w:rFonts w:ascii="Aptos" w:hAnsi="Aptos"/>
        </w:rPr>
        <w:t>FOR THE EASTERN DISTRCIT OF NEW YORK   </w:t>
      </w:r>
      <w:r w:rsidR="00E32231">
        <w:rPr>
          <w:rFonts w:ascii="Aptos" w:hAnsi="Aptos"/>
        </w:rPr>
        <w:tab/>
      </w:r>
      <w:r>
        <w:rPr>
          <w:rFonts w:ascii="Aptos" w:hAnsi="Aptos"/>
        </w:rPr>
        <w:t xml:space="preserve">: </w:t>
      </w:r>
    </w:p>
    <w:p w14:paraId="733A1DC6" w14:textId="27EAB685" w:rsidR="004C6403" w:rsidRDefault="004C6403" w:rsidP="004C6403">
      <w:pPr>
        <w:rPr>
          <w:rFonts w:ascii="Aptos" w:hAnsi="Aptos"/>
        </w:rPr>
      </w:pPr>
      <w:r>
        <w:rPr>
          <w:rFonts w:ascii="Aptos" w:hAnsi="Aptos"/>
        </w:rPr>
        <w:t>                                                                                       :</w:t>
      </w:r>
    </w:p>
    <w:p w14:paraId="17951F41" w14:textId="659036CB" w:rsidR="004C6403" w:rsidRDefault="004C6403" w:rsidP="004C6403">
      <w:pPr>
        <w:rPr>
          <w:rFonts w:ascii="Aptos" w:hAnsi="Aptos"/>
        </w:rPr>
      </w:pPr>
      <w:r>
        <w:rPr>
          <w:rFonts w:ascii="Aptos" w:hAnsi="Aptos"/>
        </w:rPr>
        <w:t>In re Payment Card Interchange Fee and          </w:t>
      </w:r>
      <w:r w:rsidR="00E32231">
        <w:rPr>
          <w:rFonts w:ascii="Aptos" w:hAnsi="Aptos"/>
        </w:rPr>
        <w:tab/>
      </w:r>
      <w:r>
        <w:rPr>
          <w:rFonts w:ascii="Aptos" w:hAnsi="Aptos"/>
        </w:rPr>
        <w:t>:  </w:t>
      </w:r>
      <w:r w:rsidR="00D60F9E">
        <w:rPr>
          <w:rFonts w:ascii="Aptos" w:hAnsi="Aptos"/>
        </w:rPr>
        <w:tab/>
      </w:r>
      <w:r>
        <w:rPr>
          <w:rFonts w:ascii="Aptos" w:hAnsi="Aptos"/>
        </w:rPr>
        <w:t>No. 05-MD-1720 (</w:t>
      </w:r>
      <w:r w:rsidR="005A5390">
        <w:rPr>
          <w:rFonts w:ascii="Aptos" w:hAnsi="Aptos"/>
        </w:rPr>
        <w:t>BMC</w:t>
      </w:r>
      <w:r>
        <w:rPr>
          <w:rFonts w:ascii="Aptos" w:hAnsi="Aptos"/>
        </w:rPr>
        <w:t xml:space="preserve">)(JAM) </w:t>
      </w:r>
    </w:p>
    <w:p w14:paraId="4EDCD0DC" w14:textId="5E76D7EA" w:rsidR="004C6403" w:rsidRDefault="004C6403" w:rsidP="004C6403">
      <w:pPr>
        <w:rPr>
          <w:rFonts w:ascii="Aptos" w:hAnsi="Aptos"/>
        </w:rPr>
      </w:pPr>
      <w:r>
        <w:rPr>
          <w:rFonts w:ascii="Aptos" w:hAnsi="Aptos"/>
        </w:rPr>
        <w:t>Merchant Discount Antitrust Litigation               </w:t>
      </w:r>
      <w:r w:rsidR="00E32231">
        <w:rPr>
          <w:rFonts w:ascii="Aptos" w:hAnsi="Aptos"/>
        </w:rPr>
        <w:tab/>
      </w:r>
      <w:r>
        <w:rPr>
          <w:rFonts w:ascii="Aptos" w:hAnsi="Aptos"/>
        </w:rPr>
        <w:t xml:space="preserve">: </w:t>
      </w:r>
    </w:p>
    <w:p w14:paraId="698AD239" w14:textId="77777777" w:rsidR="0032331D" w:rsidRDefault="0032331D" w:rsidP="00DB087E">
      <w:pPr>
        <w:rPr>
          <w:rFonts w:ascii="Aptos" w:hAnsi="Aptos"/>
        </w:rPr>
      </w:pPr>
    </w:p>
    <w:p w14:paraId="624BB588" w14:textId="5C98B5FF" w:rsidR="00DB087E" w:rsidRDefault="00DB087E" w:rsidP="00DB087E">
      <w:pPr>
        <w:rPr>
          <w:rFonts w:ascii="Aptos" w:hAnsi="Aptos"/>
        </w:rPr>
      </w:pPr>
      <w:r>
        <w:rPr>
          <w:rFonts w:ascii="Aptos" w:hAnsi="Aptos"/>
        </w:rPr>
        <w:t> </w:t>
      </w:r>
    </w:p>
    <w:p w14:paraId="0D8013DA" w14:textId="6E9C4CEE" w:rsidR="00DB087E" w:rsidRPr="00426622" w:rsidRDefault="00DB087E" w:rsidP="006A121D">
      <w:pPr>
        <w:rPr>
          <w:rFonts w:ascii="Aptos" w:hAnsi="Aptos"/>
          <w:b/>
          <w:bCs/>
        </w:rPr>
      </w:pPr>
      <w:r w:rsidRPr="00426622">
        <w:rPr>
          <w:rFonts w:ascii="Aptos" w:hAnsi="Aptos"/>
          <w:b/>
          <w:bCs/>
        </w:rPr>
        <w:t>Statement of Objection</w:t>
      </w:r>
      <w:r w:rsidR="00F42D58" w:rsidRPr="00426622">
        <w:rPr>
          <w:rFonts w:ascii="Aptos" w:hAnsi="Aptos"/>
          <w:b/>
          <w:bCs/>
        </w:rPr>
        <w:t>s</w:t>
      </w:r>
    </w:p>
    <w:p w14:paraId="058645D3" w14:textId="77777777" w:rsidR="00DB087E" w:rsidRDefault="00DB087E" w:rsidP="006A121D">
      <w:pPr>
        <w:rPr>
          <w:rFonts w:ascii="Aptos" w:hAnsi="Aptos"/>
        </w:rPr>
      </w:pPr>
      <w:r>
        <w:rPr>
          <w:rFonts w:ascii="Aptos" w:hAnsi="Aptos"/>
        </w:rPr>
        <w:t> </w:t>
      </w:r>
    </w:p>
    <w:p w14:paraId="0B3168E7" w14:textId="6C2C9D92" w:rsidR="00DB087E" w:rsidRDefault="005A5390" w:rsidP="006A121D">
      <w:pPr>
        <w:rPr>
          <w:rFonts w:ascii="Aptos" w:hAnsi="Aptos"/>
        </w:rPr>
      </w:pPr>
      <w:r>
        <w:rPr>
          <w:rFonts w:ascii="Aptos" w:hAnsi="Aptos"/>
        </w:rPr>
        <w:t>[</w:t>
      </w:r>
      <w:r w:rsidRPr="00426622">
        <w:rPr>
          <w:rFonts w:ascii="Aptos" w:hAnsi="Aptos"/>
          <w:i/>
          <w:iCs/>
          <w:color w:val="EE0000"/>
        </w:rPr>
        <w:t>Name of business</w:t>
      </w:r>
      <w:r w:rsidRPr="00426622">
        <w:rPr>
          <w:rFonts w:ascii="Aptos" w:hAnsi="Aptos"/>
          <w:color w:val="EE0000"/>
        </w:rPr>
        <w:t>]</w:t>
      </w:r>
      <w:r w:rsidR="0091603D" w:rsidRPr="00426622">
        <w:rPr>
          <w:rFonts w:ascii="Aptos" w:hAnsi="Aptos"/>
          <w:color w:val="EE0000"/>
        </w:rPr>
        <w:t xml:space="preserve"> </w:t>
      </w:r>
      <w:r w:rsidR="0091603D">
        <w:rPr>
          <w:rFonts w:ascii="Aptos" w:hAnsi="Aptos"/>
        </w:rPr>
        <w:t xml:space="preserve">is </w:t>
      </w:r>
      <w:r w:rsidR="00DB087E">
        <w:rPr>
          <w:rFonts w:ascii="Aptos" w:hAnsi="Aptos"/>
        </w:rPr>
        <w:t xml:space="preserve">a member of the Rule 23(b)(2) Class in the case called </w:t>
      </w:r>
      <w:proofErr w:type="gramStart"/>
      <w:r w:rsidR="00DB087E">
        <w:rPr>
          <w:rFonts w:ascii="Aptos" w:hAnsi="Aptos"/>
          <w:i/>
          <w:iCs/>
        </w:rPr>
        <w:t>In</w:t>
      </w:r>
      <w:proofErr w:type="gramEnd"/>
      <w:r w:rsidR="00DB087E">
        <w:rPr>
          <w:rFonts w:ascii="Aptos" w:hAnsi="Aptos"/>
          <w:i/>
          <w:iCs/>
        </w:rPr>
        <w:t xml:space="preserve"> re Payment Card Interchange Fee and Merchant Discount Antitrust Litigation</w:t>
      </w:r>
      <w:r w:rsidR="00DB087E">
        <w:rPr>
          <w:rFonts w:ascii="Aptos" w:hAnsi="Aptos"/>
        </w:rPr>
        <w:t xml:space="preserve">. </w:t>
      </w:r>
      <w:r w:rsidR="0091603D">
        <w:rPr>
          <w:rFonts w:ascii="Aptos" w:hAnsi="Aptos"/>
        </w:rPr>
        <w:t>Having accepted Visa and MasterCard credit cards between December 18, 2020</w:t>
      </w:r>
      <w:r w:rsidR="004E5C17">
        <w:rPr>
          <w:rFonts w:ascii="Aptos" w:hAnsi="Aptos"/>
        </w:rPr>
        <w:t>,</w:t>
      </w:r>
      <w:r w:rsidR="0091603D">
        <w:rPr>
          <w:rFonts w:ascii="Aptos" w:hAnsi="Aptos"/>
        </w:rPr>
        <w:t xml:space="preserve"> and today, </w:t>
      </w:r>
      <w:r w:rsidRPr="00426622">
        <w:rPr>
          <w:rFonts w:ascii="Aptos" w:hAnsi="Aptos"/>
          <w:color w:val="EE0000"/>
        </w:rPr>
        <w:t>[</w:t>
      </w:r>
      <w:r w:rsidRPr="00426622">
        <w:rPr>
          <w:rFonts w:ascii="Aptos" w:hAnsi="Aptos"/>
          <w:i/>
          <w:iCs/>
          <w:color w:val="EE0000"/>
        </w:rPr>
        <w:t>Name of business]</w:t>
      </w:r>
      <w:r w:rsidR="00DB087E" w:rsidRPr="00426622">
        <w:rPr>
          <w:rFonts w:ascii="Aptos" w:hAnsi="Aptos"/>
          <w:color w:val="EE0000"/>
        </w:rPr>
        <w:t xml:space="preserve"> </w:t>
      </w:r>
      <w:r w:rsidR="00DB087E">
        <w:rPr>
          <w:rFonts w:ascii="Aptos" w:hAnsi="Aptos"/>
        </w:rPr>
        <w:t>object</w:t>
      </w:r>
      <w:r>
        <w:rPr>
          <w:rFonts w:ascii="Aptos" w:hAnsi="Aptos"/>
        </w:rPr>
        <w:t>s</w:t>
      </w:r>
      <w:r w:rsidR="00DB087E">
        <w:rPr>
          <w:rFonts w:ascii="Aptos" w:hAnsi="Aptos"/>
        </w:rPr>
        <w:t xml:space="preserve"> </w:t>
      </w:r>
      <w:r w:rsidR="009F3444">
        <w:rPr>
          <w:rFonts w:ascii="Aptos" w:hAnsi="Aptos"/>
        </w:rPr>
        <w:t xml:space="preserve">to the proposed settlement. </w:t>
      </w:r>
    </w:p>
    <w:p w14:paraId="53C7394A" w14:textId="77777777" w:rsidR="0091603D" w:rsidRDefault="0091603D" w:rsidP="006A121D">
      <w:pPr>
        <w:rPr>
          <w:rFonts w:ascii="Aptos" w:hAnsi="Aptos"/>
        </w:rPr>
      </w:pPr>
    </w:p>
    <w:p w14:paraId="38A3B422" w14:textId="6892F078" w:rsidR="00426622" w:rsidRPr="00426622" w:rsidRDefault="00426622" w:rsidP="006A121D">
      <w:pPr>
        <w:rPr>
          <w:rFonts w:ascii="Aptos" w:hAnsi="Aptos"/>
          <w:i/>
          <w:iCs/>
          <w:color w:val="EE0000"/>
        </w:rPr>
      </w:pPr>
      <w:r w:rsidRPr="00426622">
        <w:rPr>
          <w:rFonts w:ascii="Aptos" w:hAnsi="Aptos"/>
          <w:i/>
          <w:iCs/>
          <w:color w:val="EE0000"/>
        </w:rPr>
        <w:t>[Insert a description of business, including such information as number of locations, number of employees, and contributions the business makes to the community</w:t>
      </w:r>
      <w:r w:rsidR="00D60F9E">
        <w:rPr>
          <w:rFonts w:ascii="Aptos" w:hAnsi="Aptos"/>
          <w:i/>
          <w:iCs/>
          <w:color w:val="EE0000"/>
        </w:rPr>
        <w:t>.</w:t>
      </w:r>
      <w:r w:rsidRPr="00426622">
        <w:rPr>
          <w:rFonts w:ascii="Aptos" w:hAnsi="Aptos"/>
          <w:i/>
          <w:iCs/>
          <w:color w:val="EE0000"/>
        </w:rPr>
        <w:t>]</w:t>
      </w:r>
    </w:p>
    <w:p w14:paraId="39B535B3" w14:textId="77777777" w:rsidR="00426622" w:rsidRDefault="00426622" w:rsidP="006A121D">
      <w:pPr>
        <w:rPr>
          <w:rFonts w:ascii="Aptos" w:hAnsi="Aptos"/>
        </w:rPr>
      </w:pPr>
    </w:p>
    <w:p w14:paraId="79F9853A" w14:textId="77777777" w:rsidR="00426622" w:rsidRDefault="00426622" w:rsidP="006A121D">
      <w:pPr>
        <w:rPr>
          <w:rFonts w:ascii="Aptos" w:hAnsi="Aptos"/>
        </w:rPr>
      </w:pPr>
      <w:r>
        <w:rPr>
          <w:rFonts w:ascii="Aptos" w:hAnsi="Aptos"/>
        </w:rPr>
        <w:t xml:space="preserve">There are several reasons for our objection to the proposed settlement.  </w:t>
      </w:r>
    </w:p>
    <w:p w14:paraId="5F36E1BF" w14:textId="77777777" w:rsidR="00426622" w:rsidRDefault="00426622" w:rsidP="006A121D">
      <w:pPr>
        <w:rPr>
          <w:rFonts w:ascii="Aptos" w:hAnsi="Aptos"/>
        </w:rPr>
      </w:pPr>
    </w:p>
    <w:p w14:paraId="550E1A63" w14:textId="5CA1D7EA" w:rsidR="00426622" w:rsidRDefault="00426622" w:rsidP="006A121D">
      <w:pPr>
        <w:rPr>
          <w:rFonts w:ascii="Aptos" w:hAnsi="Aptos"/>
        </w:rPr>
      </w:pPr>
      <w:r>
        <w:rPr>
          <w:rFonts w:ascii="Aptos" w:hAnsi="Aptos"/>
        </w:rPr>
        <w:t xml:space="preserve">First, businesses across the country are being burdened by excessive swipe fees that are imposed by Visa and Mastercard and that are not subject to normal marketplace competition.  </w:t>
      </w:r>
      <w:r w:rsidRPr="00426622">
        <w:rPr>
          <w:rFonts w:ascii="Aptos" w:hAnsi="Aptos"/>
          <w:i/>
          <w:iCs/>
          <w:color w:val="EE0000"/>
        </w:rPr>
        <w:t>[Insert information about the impact of swipe fees on your business, including such information as the amount of swipe fees you pay, how the fees have increased over the years, and the impact swipe fees have on your business operations and your ability to serve your customers and your community.</w:t>
      </w:r>
      <w:r w:rsidR="00BC6F86">
        <w:rPr>
          <w:rFonts w:ascii="Aptos" w:hAnsi="Aptos"/>
          <w:i/>
          <w:iCs/>
          <w:color w:val="EE0000"/>
        </w:rPr>
        <w:t xml:space="preserve"> The more detail, the better.</w:t>
      </w:r>
      <w:r w:rsidRPr="00426622">
        <w:rPr>
          <w:rFonts w:ascii="Aptos" w:hAnsi="Aptos"/>
          <w:i/>
          <w:iCs/>
          <w:color w:val="EE0000"/>
        </w:rPr>
        <w:t>]</w:t>
      </w:r>
      <w:r>
        <w:rPr>
          <w:rFonts w:ascii="Aptos" w:hAnsi="Aptos"/>
          <w:i/>
          <w:iCs/>
          <w:color w:val="EE0000"/>
        </w:rPr>
        <w:t xml:space="preserve">  </w:t>
      </w:r>
      <w:r>
        <w:rPr>
          <w:rFonts w:ascii="Aptos" w:hAnsi="Aptos"/>
        </w:rPr>
        <w:t xml:space="preserve">Businesses like ours urgently need relief from these excessive and anticompetitive fees.  </w:t>
      </w:r>
    </w:p>
    <w:p w14:paraId="2B278317" w14:textId="77777777" w:rsidR="00426622" w:rsidRDefault="00426622" w:rsidP="006A121D">
      <w:pPr>
        <w:rPr>
          <w:rFonts w:ascii="Aptos" w:hAnsi="Aptos"/>
        </w:rPr>
      </w:pPr>
    </w:p>
    <w:p w14:paraId="055BB477" w14:textId="46C2BC08" w:rsidR="00426622" w:rsidRDefault="00426622" w:rsidP="006A121D">
      <w:pPr>
        <w:rPr>
          <w:rFonts w:ascii="Aptos" w:hAnsi="Aptos"/>
        </w:rPr>
      </w:pPr>
      <w:r>
        <w:rPr>
          <w:rFonts w:ascii="Aptos" w:hAnsi="Aptos"/>
        </w:rPr>
        <w:t>However, the proposed settlement does not come close to fixing the swipe fee</w:t>
      </w:r>
      <w:r w:rsidR="00437BD7">
        <w:rPr>
          <w:rFonts w:ascii="Aptos" w:hAnsi="Aptos"/>
        </w:rPr>
        <w:t xml:space="preserve"> challenges we face.</w:t>
      </w:r>
      <w:r>
        <w:rPr>
          <w:rFonts w:ascii="Aptos" w:hAnsi="Aptos"/>
        </w:rPr>
        <w:t xml:space="preserve"> </w:t>
      </w:r>
      <w:r w:rsidR="00437BD7">
        <w:t>The biggest problem with swipe fees is that Visa and Mastercard fix fee rates on behalf of the banks that issue credit cards</w:t>
      </w:r>
      <w:r w:rsidR="00B45C7A">
        <w:t xml:space="preserve"> and set the terms by which those cards are accepted</w:t>
      </w:r>
      <w:r w:rsidR="00437BD7">
        <w:t xml:space="preserve">, so banks do not have to </w:t>
      </w:r>
      <w:proofErr w:type="gramStart"/>
      <w:r w:rsidR="00437BD7">
        <w:t>compete with each other</w:t>
      </w:r>
      <w:proofErr w:type="gramEnd"/>
      <w:r w:rsidR="00437BD7">
        <w:t xml:space="preserve"> on fee </w:t>
      </w:r>
      <w:proofErr w:type="gramStart"/>
      <w:r w:rsidR="00437BD7">
        <w:t>rates</w:t>
      </w:r>
      <w:proofErr w:type="gramEnd"/>
      <w:r w:rsidR="00437BD7">
        <w:t xml:space="preserve"> and those rates stay excessively high.  </w:t>
      </w:r>
      <w:r>
        <w:rPr>
          <w:rFonts w:ascii="Aptos" w:hAnsi="Aptos"/>
        </w:rPr>
        <w:t xml:space="preserve">Nothing in the settlement fixes the fundamentally anticompetitive fee-fixing </w:t>
      </w:r>
      <w:r w:rsidR="004A1970">
        <w:rPr>
          <w:rFonts w:ascii="Aptos" w:hAnsi="Aptos"/>
        </w:rPr>
        <w:t xml:space="preserve">and rule-setting </w:t>
      </w:r>
      <w:r>
        <w:rPr>
          <w:rFonts w:ascii="Aptos" w:hAnsi="Aptos"/>
        </w:rPr>
        <w:t xml:space="preserve">role that Visa and Mastercard perform on behalf of card-issuing banks.  </w:t>
      </w:r>
      <w:r w:rsidR="00D71891">
        <w:rPr>
          <w:rFonts w:ascii="Aptos" w:hAnsi="Aptos"/>
        </w:rPr>
        <w:t xml:space="preserve">Under the settlement, </w:t>
      </w:r>
      <w:r w:rsidR="00D71891">
        <w:t>w</w:t>
      </w:r>
      <w:r w:rsidR="000A20B5">
        <w:t xml:space="preserve">e </w:t>
      </w:r>
      <w:r w:rsidR="00D71891">
        <w:t xml:space="preserve">would </w:t>
      </w:r>
      <w:r w:rsidR="000A20B5">
        <w:t xml:space="preserve">still be subject to Visa’s and Mastercard’s limitations on our ability to bargain with credit card issuers. We should not have those restrictions. Our business should be able to negotiate agreements with credit card issuers in any </w:t>
      </w:r>
      <w:proofErr w:type="gramStart"/>
      <w:r w:rsidR="000A20B5">
        <w:t>ways</w:t>
      </w:r>
      <w:proofErr w:type="gramEnd"/>
      <w:r w:rsidR="000A20B5">
        <w:t xml:space="preserve"> </w:t>
      </w:r>
      <w:r w:rsidR="000A20B5">
        <w:lastRenderedPageBreak/>
        <w:t>that are acceptable both to us and to those credit card issuers.</w:t>
      </w:r>
      <w:r w:rsidR="00F24BC2">
        <w:t xml:space="preserve"> Visa’s and Mastercard’s restrictions on </w:t>
      </w:r>
      <w:r w:rsidR="00260480">
        <w:t>those negotiations cannot account for the needs and situations of individual businesses like ours</w:t>
      </w:r>
      <w:r w:rsidR="0061345A">
        <w:t xml:space="preserve"> and are only there to constrain the market </w:t>
      </w:r>
      <w:r w:rsidR="00C32DF3">
        <w:t xml:space="preserve">and limit competition. </w:t>
      </w:r>
      <w:r>
        <w:rPr>
          <w:rFonts w:ascii="Aptos" w:hAnsi="Aptos"/>
        </w:rPr>
        <w:t xml:space="preserve">In fact, the settlement gives Visa, Mastercard and the banks legal immunity to continue that system.  </w:t>
      </w:r>
    </w:p>
    <w:p w14:paraId="6FE9392F" w14:textId="7FEF0D0E" w:rsidR="00426622" w:rsidRDefault="00426622" w:rsidP="006A121D">
      <w:pPr>
        <w:rPr>
          <w:rFonts w:ascii="Aptos" w:hAnsi="Aptos"/>
        </w:rPr>
      </w:pPr>
    </w:p>
    <w:p w14:paraId="4F9CD251" w14:textId="6D66BA78" w:rsidR="00426622" w:rsidRPr="00027E2D" w:rsidRDefault="00437BD7" w:rsidP="006A121D">
      <w:pPr>
        <w:rPr>
          <w:rFonts w:ascii="Aptos" w:hAnsi="Aptos"/>
          <w:color w:val="FF0000"/>
        </w:rPr>
      </w:pPr>
      <w:r>
        <w:rPr>
          <w:rFonts w:ascii="Aptos" w:hAnsi="Aptos"/>
        </w:rPr>
        <w:t xml:space="preserve">Second, </w:t>
      </w:r>
      <w:r w:rsidR="00426622">
        <w:rPr>
          <w:rFonts w:ascii="Aptos" w:hAnsi="Aptos"/>
        </w:rPr>
        <w:t xml:space="preserve">the swipe fee relief that the settlement offers is inadequate, temporary, and largely unworkable.  </w:t>
      </w:r>
      <w:r>
        <w:rPr>
          <w:rFonts w:ascii="Aptos" w:hAnsi="Aptos"/>
        </w:rPr>
        <w:t xml:space="preserve">For </w:t>
      </w:r>
      <w:proofErr w:type="gramStart"/>
      <w:r>
        <w:rPr>
          <w:rFonts w:ascii="Aptos" w:hAnsi="Aptos"/>
        </w:rPr>
        <w:t xml:space="preserve">example, </w:t>
      </w:r>
      <w:r w:rsidR="00A34328">
        <w:rPr>
          <w:rFonts w:ascii="Aptos" w:hAnsi="Aptos"/>
        </w:rPr>
        <w:t xml:space="preserve"> </w:t>
      </w:r>
      <w:r w:rsidR="00A34328" w:rsidRPr="00027E2D">
        <w:rPr>
          <w:rFonts w:ascii="Aptos" w:hAnsi="Aptos"/>
          <w:i/>
          <w:iCs/>
          <w:color w:val="FF0000"/>
        </w:rPr>
        <w:t>[</w:t>
      </w:r>
      <w:proofErr w:type="gramEnd"/>
      <w:r w:rsidR="00A34328" w:rsidRPr="00027E2D">
        <w:rPr>
          <w:rFonts w:ascii="Aptos" w:hAnsi="Aptos"/>
          <w:i/>
          <w:iCs/>
          <w:color w:val="FF0000"/>
        </w:rPr>
        <w:t>the below are examples. You can write these in your own words, use a subset of them, or include additional concerns. Please tailor these to your thoughts]</w:t>
      </w:r>
    </w:p>
    <w:p w14:paraId="557B98CD" w14:textId="77777777" w:rsidR="00437BD7" w:rsidRDefault="00437BD7" w:rsidP="006A121D">
      <w:pPr>
        <w:rPr>
          <w:rFonts w:ascii="Aptos" w:hAnsi="Aptos"/>
        </w:rPr>
      </w:pPr>
    </w:p>
    <w:p w14:paraId="281EADD7" w14:textId="77777777" w:rsidR="00A34328" w:rsidRDefault="00437BD7" w:rsidP="00437BD7">
      <w:pPr>
        <w:pStyle w:val="ListParagraph"/>
        <w:numPr>
          <w:ilvl w:val="0"/>
          <w:numId w:val="4"/>
        </w:numPr>
        <w:spacing w:before="0" w:beforeAutospacing="0" w:after="0" w:afterAutospacing="0"/>
        <w:contextualSpacing/>
      </w:pPr>
      <w:r>
        <w:t xml:space="preserve">The settlement proposes reducing Visa and Mastercard credit card interchange rates by 0.1 percent for five years.  This is a tiny fraction of current Visa and Mastercard rates, which average at least 2.35 percent.  And after the five years </w:t>
      </w:r>
      <w:r w:rsidR="00D60F9E">
        <w:t>are</w:t>
      </w:r>
      <w:r>
        <w:t xml:space="preserve"> up, Visa and Mastercard could raise rates again at will.</w:t>
      </w:r>
    </w:p>
    <w:p w14:paraId="3B59D2C5" w14:textId="5A576668" w:rsidR="00437BD7" w:rsidRDefault="00A34328" w:rsidP="00421863">
      <w:pPr>
        <w:pStyle w:val="ListParagraph"/>
        <w:numPr>
          <w:ilvl w:val="0"/>
          <w:numId w:val="4"/>
        </w:numPr>
        <w:spacing w:before="0" w:beforeAutospacing="0" w:after="0" w:afterAutospacing="0"/>
        <w:contextualSpacing/>
      </w:pPr>
      <w:r>
        <w:t xml:space="preserve">The bar against merchant legal claims would last eight years while the 0.1 percent reduction in rates will only last five years. That leaves </w:t>
      </w:r>
      <w:r w:rsidR="002E7D23">
        <w:t>my business</w:t>
      </w:r>
      <w:r>
        <w:t xml:space="preserve"> open to </w:t>
      </w:r>
      <w:r w:rsidR="00421863">
        <w:t>rate</w:t>
      </w:r>
      <w:r>
        <w:t xml:space="preserve"> increases over the last three </w:t>
      </w:r>
      <w:proofErr w:type="gramStart"/>
      <w:r>
        <w:t>years</w:t>
      </w:r>
      <w:proofErr w:type="gramEnd"/>
      <w:r>
        <w:t xml:space="preserve"> covered by the release in the </w:t>
      </w:r>
      <w:r w:rsidR="00421863">
        <w:t>settlement</w:t>
      </w:r>
      <w:r>
        <w:t xml:space="preserve"> that could match or exceed any potential savings.</w:t>
      </w:r>
    </w:p>
    <w:p w14:paraId="7FF7A3A2" w14:textId="358AF749" w:rsidR="00437BD7" w:rsidRDefault="00437BD7" w:rsidP="00437BD7">
      <w:pPr>
        <w:pStyle w:val="ListParagraph"/>
        <w:numPr>
          <w:ilvl w:val="0"/>
          <w:numId w:val="4"/>
        </w:numPr>
        <w:spacing w:before="0" w:beforeAutospacing="0" w:after="0" w:afterAutospacing="0"/>
        <w:contextualSpacing/>
      </w:pPr>
      <w:r>
        <w:t>The settlement proposes setting a temporary eight</w:t>
      </w:r>
      <w:r w:rsidR="00D60F9E">
        <w:t>-</w:t>
      </w:r>
      <w:r>
        <w:t xml:space="preserve">year interchange rate cap of 1.25% for so-called “standard” consumer credit cards. But this is a small subset of credit </w:t>
      </w:r>
      <w:proofErr w:type="gramStart"/>
      <w:r>
        <w:t>cards</w:t>
      </w:r>
      <w:proofErr w:type="gramEnd"/>
      <w:r>
        <w:t xml:space="preserve"> and the card companies would be able to freely change which cards are subject to this category</w:t>
      </w:r>
      <w:r w:rsidR="00D60F9E">
        <w:t>, s</w:t>
      </w:r>
      <w:r>
        <w:t xml:space="preserve">o this rate cap will not provide </w:t>
      </w:r>
      <w:proofErr w:type="gramStart"/>
      <w:r>
        <w:t>merchants</w:t>
      </w:r>
      <w:proofErr w:type="gramEnd"/>
      <w:r>
        <w:t xml:space="preserve"> meaningful relief.</w:t>
      </w:r>
    </w:p>
    <w:p w14:paraId="5A4D7669" w14:textId="4D89F98F" w:rsidR="00437BD7" w:rsidRDefault="00437BD7" w:rsidP="00437BD7">
      <w:pPr>
        <w:pStyle w:val="ListParagraph"/>
        <w:numPr>
          <w:ilvl w:val="0"/>
          <w:numId w:val="4"/>
        </w:numPr>
        <w:spacing w:before="0" w:beforeAutospacing="0" w:after="0" w:afterAutospacing="0"/>
        <w:contextualSpacing/>
      </w:pPr>
      <w:r>
        <w:t xml:space="preserve">The settlement proposes to allow merchants to refuse to accept rewards cards, but </w:t>
      </w:r>
      <w:proofErr w:type="gramStart"/>
      <w:r>
        <w:t>the vast majority of</w:t>
      </w:r>
      <w:proofErr w:type="gramEnd"/>
      <w:r>
        <w:t xml:space="preserve"> credit cards are rewards cards, which means that opting out of rewards cards would essentially mean opting out of accepting cards altogether in an era where most retail transactions are paid by card.</w:t>
      </w:r>
      <w:r w:rsidR="00D60F9E">
        <w:t xml:space="preserve">  That is not a workable solution for businesses like ours.</w:t>
      </w:r>
    </w:p>
    <w:p w14:paraId="73E08BD7" w14:textId="5D39EBC4" w:rsidR="00A34328" w:rsidRDefault="00A34328" w:rsidP="00437BD7">
      <w:pPr>
        <w:pStyle w:val="ListParagraph"/>
        <w:numPr>
          <w:ilvl w:val="0"/>
          <w:numId w:val="4"/>
        </w:numPr>
        <w:spacing w:before="0" w:beforeAutospacing="0" w:after="0" w:afterAutospacing="0"/>
        <w:contextualSpacing/>
      </w:pPr>
      <w:r>
        <w:t xml:space="preserve">Credit card issuing banks can further make the change to the honor all cards rule ineffectual by moving cards from one category to another. We have no insight into those </w:t>
      </w:r>
      <w:proofErr w:type="gramStart"/>
      <w:r>
        <w:t>changes</w:t>
      </w:r>
      <w:proofErr w:type="gramEnd"/>
      <w:r>
        <w:t xml:space="preserve"> and the proposed settlement does not place any restrictions on those changes. This makes it impossible for businesses like mine to plan for or use this type of relief. </w:t>
      </w:r>
    </w:p>
    <w:p w14:paraId="68C47E06" w14:textId="7331788A" w:rsidR="00437BD7" w:rsidRDefault="00437BD7" w:rsidP="00437BD7">
      <w:pPr>
        <w:pStyle w:val="ListParagraph"/>
        <w:numPr>
          <w:ilvl w:val="0"/>
          <w:numId w:val="4"/>
        </w:numPr>
        <w:spacing w:before="0" w:beforeAutospacing="0" w:after="0" w:afterAutospacing="0"/>
        <w:contextualSpacing/>
      </w:pPr>
      <w:r>
        <w:t xml:space="preserve">The settlement </w:t>
      </w:r>
      <w:r w:rsidR="00D60F9E">
        <w:t xml:space="preserve">also </w:t>
      </w:r>
      <w:r>
        <w:t>does nothing to stop Visa and Mastercard from increasing other fees besides interchange fees, such as network fees.  This means any interchange fee savings that the settlement might provide merchants can be wiped away by other fee increases.</w:t>
      </w:r>
    </w:p>
    <w:p w14:paraId="16A77A56" w14:textId="1E758A39" w:rsidR="00A34328" w:rsidRDefault="00A34328" w:rsidP="00437BD7">
      <w:pPr>
        <w:pStyle w:val="ListParagraph"/>
        <w:numPr>
          <w:ilvl w:val="0"/>
          <w:numId w:val="4"/>
        </w:numPr>
        <w:spacing w:before="0" w:beforeAutospacing="0" w:after="0" w:afterAutospacing="0"/>
        <w:contextualSpacing/>
      </w:pPr>
      <w:r>
        <w:t xml:space="preserve">Just like the 2024 settlement, this agreement makes </w:t>
      </w:r>
      <w:proofErr w:type="gramStart"/>
      <w:r>
        <w:t>surcharging</w:t>
      </w:r>
      <w:proofErr w:type="gramEnd"/>
      <w:r>
        <w:t xml:space="preserve"> a central element of its relief. </w:t>
      </w:r>
      <w:proofErr w:type="gramStart"/>
      <w:r>
        <w:t>But,</w:t>
      </w:r>
      <w:proofErr w:type="gramEnd"/>
      <w:r>
        <w:t xml:space="preserve"> Judge Brodie properly rejected the 2024 settlement because surcharging does not address the combination of Visa and Mastercard setting banks’ rates combined with </w:t>
      </w:r>
      <w:r w:rsidR="002E7D23">
        <w:t xml:space="preserve">restrictions like the honor all cards rule. For example, this relief does not allow businesses like mine to surcharge based on the individual bank that issued the card. That restriction means there is no way to use </w:t>
      </w:r>
      <w:proofErr w:type="gramStart"/>
      <w:r w:rsidR="002E7D23">
        <w:t>surcharging</w:t>
      </w:r>
      <w:proofErr w:type="gramEnd"/>
      <w:r w:rsidR="002E7D23">
        <w:t xml:space="preserve"> to spur price competition among credit card issuers which </w:t>
      </w:r>
      <w:proofErr w:type="gramStart"/>
      <w:r w:rsidR="002E7D23">
        <w:t>a foundational</w:t>
      </w:r>
      <w:proofErr w:type="gramEnd"/>
      <w:r w:rsidR="002E7D23">
        <w:t xml:space="preserve"> problem the litigation is supposed to address.</w:t>
      </w:r>
    </w:p>
    <w:p w14:paraId="18EB00DE" w14:textId="22ECAD76" w:rsidR="002E7D23" w:rsidRDefault="002E7D23" w:rsidP="00437BD7">
      <w:pPr>
        <w:pStyle w:val="ListParagraph"/>
        <w:numPr>
          <w:ilvl w:val="0"/>
          <w:numId w:val="4"/>
        </w:numPr>
        <w:spacing w:before="0" w:beforeAutospacing="0" w:after="0" w:afterAutospacing="0"/>
        <w:contextualSpacing/>
      </w:pPr>
      <w:r>
        <w:t xml:space="preserve">While the settlement </w:t>
      </w:r>
      <w:r w:rsidR="00A11046">
        <w:t xml:space="preserve">appears to </w:t>
      </w:r>
      <w:r>
        <w:t xml:space="preserve">allow discounts based on the individual credit card issuer, </w:t>
      </w:r>
      <w:r w:rsidR="00A11046">
        <w:t>the settlement empowers Visa and Mastercard to limit the utility of those discounts by preserving existing agreements with merchants under which merchants do not discount and by allowing Visa and Mastercard to simultaneously enforce rules that prohibit merchants from disparaging their brand or encouraging customers from using one issuer over another. This will likely lead to constant disputes between Visa, Mastercard and merchants over what discounts are permissible and what is considered a “discount” versus a “surcharge</w:t>
      </w:r>
      <w:r w:rsidR="00A21AA5">
        <w:t>” (with surcharging by issuer not allowed under the settlement).</w:t>
      </w:r>
      <w:r w:rsidR="00A11046">
        <w:t xml:space="preserve"> </w:t>
      </w:r>
      <w:r>
        <w:t>The narrow straitjacket afforded by the settlement does not allow businesses like mine to have the negotiating tools that we have when dealing with any other supplier that we work with in our normal operations.</w:t>
      </w:r>
    </w:p>
    <w:p w14:paraId="55238AE3" w14:textId="5A8CD838" w:rsidR="00437BD7" w:rsidRDefault="00D60F9E" w:rsidP="00437BD7">
      <w:pPr>
        <w:pStyle w:val="ListParagraph"/>
        <w:numPr>
          <w:ilvl w:val="0"/>
          <w:numId w:val="4"/>
        </w:numPr>
        <w:spacing w:before="0" w:beforeAutospacing="0" w:after="0" w:afterAutospacing="0"/>
        <w:contextualSpacing/>
      </w:pPr>
      <w:r>
        <w:lastRenderedPageBreak/>
        <w:t>I</w:t>
      </w:r>
      <w:r w:rsidR="00437BD7">
        <w:t>n exchange for these inadequate relief measures, the settlement would broadly bar all merchants – whether they agree with the settlement or not – from bringing legal claims against Visa, Mastercard and the big banks regarding their credit and de</w:t>
      </w:r>
      <w:r>
        <w:t xml:space="preserve">bit </w:t>
      </w:r>
      <w:r w:rsidR="00437BD7">
        <w:t xml:space="preserve">card fees and practices.  That means the settlement would entrench the current unfair swipe fee system rather than meaningfully reforming it. </w:t>
      </w:r>
      <w:r>
        <w:t xml:space="preserve"> </w:t>
      </w:r>
    </w:p>
    <w:p w14:paraId="756CDDD4" w14:textId="77777777" w:rsidR="00437BD7" w:rsidRDefault="00437BD7" w:rsidP="00437BD7">
      <w:pPr>
        <w:contextualSpacing/>
        <w:rPr>
          <w:rFonts w:ascii="Aptos" w:hAnsi="Aptos"/>
        </w:rPr>
      </w:pPr>
    </w:p>
    <w:p w14:paraId="346E72F5" w14:textId="1D522388" w:rsidR="00437BD7" w:rsidRDefault="00D60F9E" w:rsidP="00437BD7">
      <w:pPr>
        <w:contextualSpacing/>
      </w:pPr>
      <w:r>
        <w:rPr>
          <w:rFonts w:ascii="Aptos" w:hAnsi="Aptos"/>
        </w:rPr>
        <w:t>Third</w:t>
      </w:r>
      <w:r w:rsidR="00437BD7">
        <w:rPr>
          <w:rFonts w:ascii="Aptos" w:hAnsi="Aptos"/>
        </w:rPr>
        <w:t>,</w:t>
      </w:r>
      <w:r w:rsidR="00437BD7" w:rsidRPr="00437BD7">
        <w:rPr>
          <w:rFonts w:ascii="Aptos" w:hAnsi="Aptos"/>
        </w:rPr>
        <w:t xml:space="preserve"> </w:t>
      </w:r>
      <w:r w:rsidR="00437BD7">
        <w:t xml:space="preserve">the settlement was negotiated in secret between Visa, Mastercard, several giant banks, and attorneys representing a handful of merchants.  These attorneys did not coordinate with or represent the interests of </w:t>
      </w:r>
      <w:proofErr w:type="gramStart"/>
      <w:r w:rsidR="00437BD7">
        <w:t>the vast majority of</w:t>
      </w:r>
      <w:proofErr w:type="gramEnd"/>
      <w:r w:rsidR="00437BD7">
        <w:t xml:space="preserve"> merchants, including us, yet under the proposed settlement all merchants, including us, would be bound to its terms and would lose the ability to go to court to challenge unfair aspects of the swipe fee system.  We note that the proposed settlement is opposed by </w:t>
      </w:r>
      <w:proofErr w:type="gramStart"/>
      <w:r w:rsidR="00437BD7">
        <w:t>all of</w:t>
      </w:r>
      <w:proofErr w:type="gramEnd"/>
      <w:r w:rsidR="00437BD7">
        <w:t xml:space="preserve"> the major trade groups representing merchants, including NFIB, FMI, National Association of Convenience Stores, National Grocers Association, National Restaurant Association, National Retail Federation, Retail Industry Leaders Association, and more.</w:t>
      </w:r>
      <w:r w:rsidR="00A34328">
        <w:t xml:space="preserve"> It was not fair or legitimate for the attorneys representing the class to refuse to seek input from businesses like ours and the trade groups that represent us. </w:t>
      </w:r>
      <w:r w:rsidR="00437BD7">
        <w:t xml:space="preserve">  </w:t>
      </w:r>
    </w:p>
    <w:p w14:paraId="64AB84FA" w14:textId="77777777" w:rsidR="00437BD7" w:rsidRDefault="00437BD7" w:rsidP="00437BD7">
      <w:pPr>
        <w:contextualSpacing/>
      </w:pPr>
    </w:p>
    <w:p w14:paraId="1C464F3D" w14:textId="14E15D4F" w:rsidR="00437BD7" w:rsidRDefault="00437BD7" w:rsidP="00437BD7">
      <w:pPr>
        <w:contextualSpacing/>
      </w:pPr>
      <w:r>
        <w:t xml:space="preserve">Fourth, this settlement is substantially </w:t>
      </w:r>
      <w:proofErr w:type="gramStart"/>
      <w:r>
        <w:t>similar to</w:t>
      </w:r>
      <w:proofErr w:type="gramEnd"/>
      <w:r>
        <w:t xml:space="preserve"> the proposed settlement that was rejected just last year by Federal District Court Judge Margo Brodie of the Eastern District of New York.  The changes that have been made to that 2024 proposed settlement do not provide meaningful or workable relief to the swipe fee problem and do not alter the fact that this proposed settlement would be a bad deal for merchants like us. </w:t>
      </w:r>
      <w:r w:rsidR="002E7D23">
        <w:t xml:space="preserve">The narrow changes </w:t>
      </w:r>
      <w:r w:rsidR="00D56F4D">
        <w:t xml:space="preserve">from the last settlement </w:t>
      </w:r>
      <w:r w:rsidR="002E7D23">
        <w:t>are tightly constrained and are simply the ones that the Defendants know will be least useful to businesses like mine. That is not a reasonable substitute for a free market in which differently situated businesses can employ different strategies as they choose to try to negotiate better deals that meet their own businesses’ needs.</w:t>
      </w:r>
      <w:r w:rsidR="00D97DD6">
        <w:t xml:space="preserve"> </w:t>
      </w:r>
    </w:p>
    <w:p w14:paraId="196A6DE9" w14:textId="77777777" w:rsidR="00437BD7" w:rsidRDefault="00437BD7" w:rsidP="00437BD7">
      <w:pPr>
        <w:contextualSpacing/>
      </w:pPr>
    </w:p>
    <w:p w14:paraId="219CCBA0" w14:textId="5C8AE184" w:rsidR="00437BD7" w:rsidRDefault="00437BD7" w:rsidP="00437BD7">
      <w:pPr>
        <w:contextualSpacing/>
      </w:pPr>
      <w:r>
        <w:t xml:space="preserve">We do not want to be bound by a bad deal. </w:t>
      </w:r>
      <w:r w:rsidR="00D60F9E">
        <w:t xml:space="preserve"> This proposed settlement sacrifices the legal rights of merchants like ours in exchange for inadequate, temporary and unworkable relief, and it would further entrench the current swipe fee system which has burdened our business and the customers we serve.  </w:t>
      </w:r>
      <w:r>
        <w:t xml:space="preserve">The attorneys who negotiated this settlement with Visa, Mastercard, and big banks did not adequately represent our interests, and we do not support the settlement. </w:t>
      </w:r>
    </w:p>
    <w:p w14:paraId="37F6FF56" w14:textId="77777777" w:rsidR="00D60F9E" w:rsidRDefault="00D60F9E" w:rsidP="00437BD7">
      <w:pPr>
        <w:contextualSpacing/>
      </w:pPr>
    </w:p>
    <w:p w14:paraId="4F4772B8" w14:textId="1E740FD6" w:rsidR="00D60F9E" w:rsidRDefault="00D60F9E" w:rsidP="00437BD7">
      <w:pPr>
        <w:contextualSpacing/>
      </w:pPr>
      <w:r>
        <w:t xml:space="preserve">We urge the Court to reject the settlement proposal. </w:t>
      </w:r>
    </w:p>
    <w:p w14:paraId="6EFEE829" w14:textId="77777777" w:rsidR="00F93FAD" w:rsidRDefault="00F93FAD" w:rsidP="00DB087E">
      <w:pPr>
        <w:rPr>
          <w:rFonts w:ascii="Aptos" w:hAnsi="Aptos"/>
        </w:rPr>
      </w:pPr>
    </w:p>
    <w:p w14:paraId="33D817A4" w14:textId="7D827D79" w:rsidR="009F3444" w:rsidRDefault="009F3444"/>
    <w:p w14:paraId="27185DFE" w14:textId="3772D3E8" w:rsidR="0091603D" w:rsidRDefault="0091603D" w:rsidP="0091603D">
      <w:pPr>
        <w:ind w:left="4320"/>
        <w:rPr>
          <w:u w:val="single"/>
        </w:rPr>
      </w:pPr>
      <w:proofErr w:type="gramStart"/>
      <w:r>
        <w:t>By:</w:t>
      </w:r>
      <w:proofErr w:type="gramEnd"/>
      <w:r>
        <w:rPr>
          <w:u w:val="single"/>
        </w:rPr>
        <w:tab/>
      </w:r>
      <w:r>
        <w:rPr>
          <w:u w:val="single"/>
        </w:rPr>
        <w:tab/>
      </w:r>
      <w:r>
        <w:rPr>
          <w:u w:val="single"/>
        </w:rPr>
        <w:tab/>
      </w:r>
      <w:r>
        <w:rPr>
          <w:u w:val="single"/>
        </w:rPr>
        <w:tab/>
      </w:r>
      <w:r>
        <w:rPr>
          <w:u w:val="single"/>
        </w:rPr>
        <w:tab/>
      </w:r>
      <w:r>
        <w:rPr>
          <w:u w:val="single"/>
        </w:rPr>
        <w:tab/>
      </w:r>
      <w:r>
        <w:rPr>
          <w:u w:val="single"/>
        </w:rPr>
        <w:tab/>
      </w:r>
    </w:p>
    <w:p w14:paraId="465F235A" w14:textId="77777777" w:rsidR="0091603D" w:rsidRDefault="0091603D" w:rsidP="0091603D">
      <w:pPr>
        <w:ind w:left="4320"/>
      </w:pPr>
    </w:p>
    <w:p w14:paraId="75A16237" w14:textId="0C03E44E" w:rsidR="0091603D" w:rsidRDefault="0091603D" w:rsidP="0091603D">
      <w:pPr>
        <w:ind w:left="4320"/>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p>
    <w:p w14:paraId="7D91A76B" w14:textId="77777777" w:rsidR="0091603D" w:rsidRDefault="0091603D" w:rsidP="0091603D">
      <w:pPr>
        <w:ind w:left="4320"/>
      </w:pPr>
    </w:p>
    <w:p w14:paraId="7CBB8D18" w14:textId="29DEC2CC" w:rsidR="0091603D" w:rsidRDefault="0091603D" w:rsidP="0091603D">
      <w:pPr>
        <w:ind w:left="4320"/>
      </w:pPr>
      <w:r>
        <w:t>Company:</w:t>
      </w:r>
      <w:r>
        <w:rPr>
          <w:u w:val="single"/>
        </w:rPr>
        <w:tab/>
      </w:r>
      <w:r>
        <w:rPr>
          <w:u w:val="single"/>
        </w:rPr>
        <w:tab/>
      </w:r>
      <w:r>
        <w:rPr>
          <w:u w:val="single"/>
        </w:rPr>
        <w:tab/>
      </w:r>
      <w:r>
        <w:rPr>
          <w:u w:val="single"/>
        </w:rPr>
        <w:tab/>
      </w:r>
      <w:r>
        <w:rPr>
          <w:u w:val="single"/>
        </w:rPr>
        <w:tab/>
      </w:r>
      <w:r>
        <w:rPr>
          <w:u w:val="single"/>
        </w:rPr>
        <w:tab/>
      </w:r>
    </w:p>
    <w:p w14:paraId="7A00063D" w14:textId="77777777" w:rsidR="0091603D" w:rsidRDefault="0091603D" w:rsidP="0091603D">
      <w:pPr>
        <w:ind w:left="4320"/>
      </w:pPr>
    </w:p>
    <w:p w14:paraId="0180C7AD" w14:textId="4AB9B050" w:rsidR="0091603D" w:rsidRDefault="0091603D" w:rsidP="0091603D">
      <w:pPr>
        <w:ind w:left="4320"/>
        <w:rPr>
          <w:u w:val="single"/>
        </w:rPr>
      </w:pPr>
      <w:r>
        <w:t>Address:</w:t>
      </w:r>
      <w:r>
        <w:rPr>
          <w:u w:val="single"/>
        </w:rPr>
        <w:tab/>
      </w:r>
      <w:r>
        <w:rPr>
          <w:u w:val="single"/>
        </w:rPr>
        <w:tab/>
      </w:r>
      <w:r>
        <w:rPr>
          <w:u w:val="single"/>
        </w:rPr>
        <w:tab/>
      </w:r>
      <w:r>
        <w:rPr>
          <w:u w:val="single"/>
        </w:rPr>
        <w:tab/>
      </w:r>
      <w:r>
        <w:rPr>
          <w:u w:val="single"/>
        </w:rPr>
        <w:tab/>
      </w:r>
      <w:r>
        <w:rPr>
          <w:u w:val="single"/>
        </w:rPr>
        <w:tab/>
      </w:r>
    </w:p>
    <w:p w14:paraId="38D93961" w14:textId="77777777" w:rsidR="0091603D" w:rsidRDefault="0091603D" w:rsidP="0091603D">
      <w:pPr>
        <w:ind w:left="4320"/>
      </w:pPr>
    </w:p>
    <w:p w14:paraId="0CD34EE4" w14:textId="7B3D5521" w:rsidR="0091603D" w:rsidRPr="0091603D" w:rsidRDefault="0091603D" w:rsidP="0091603D">
      <w:pPr>
        <w:ind w:left="4320"/>
        <w:rPr>
          <w:u w:val="single"/>
        </w:rPr>
      </w:pPr>
      <w:r>
        <w:t>City/State/Zip:</w:t>
      </w:r>
      <w:r>
        <w:rPr>
          <w:u w:val="single"/>
        </w:rPr>
        <w:tab/>
      </w:r>
      <w:r>
        <w:rPr>
          <w:u w:val="single"/>
        </w:rPr>
        <w:tab/>
      </w:r>
      <w:r>
        <w:rPr>
          <w:u w:val="single"/>
        </w:rPr>
        <w:tab/>
      </w:r>
      <w:r>
        <w:rPr>
          <w:u w:val="single"/>
        </w:rPr>
        <w:tab/>
      </w:r>
      <w:r>
        <w:rPr>
          <w:u w:val="single"/>
        </w:rPr>
        <w:tab/>
      </w:r>
      <w:r>
        <w:rPr>
          <w:u w:val="single"/>
        </w:rPr>
        <w:tab/>
      </w:r>
    </w:p>
    <w:sectPr w:rsidR="0091603D" w:rsidRPr="009160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DABB" w14:textId="77777777" w:rsidR="0065691B" w:rsidRDefault="0065691B" w:rsidP="008268D5">
      <w:r>
        <w:separator/>
      </w:r>
    </w:p>
  </w:endnote>
  <w:endnote w:type="continuationSeparator" w:id="0">
    <w:p w14:paraId="3B96ECE0" w14:textId="77777777" w:rsidR="0065691B" w:rsidRDefault="0065691B" w:rsidP="0082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DFE8" w14:textId="77777777" w:rsidR="0065691B" w:rsidRDefault="0065691B" w:rsidP="008268D5">
      <w:r>
        <w:separator/>
      </w:r>
    </w:p>
  </w:footnote>
  <w:footnote w:type="continuationSeparator" w:id="0">
    <w:p w14:paraId="7C23E7B4" w14:textId="77777777" w:rsidR="0065691B" w:rsidRDefault="0065691B" w:rsidP="0082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461F" w14:textId="1FAB55F5" w:rsidR="00DF766A" w:rsidRPr="00DF766A" w:rsidRDefault="00DF766A" w:rsidP="00DF766A">
    <w:pPr>
      <w:pStyle w:val="Header"/>
    </w:pPr>
    <w:r w:rsidRPr="00DF766A">
      <w:rPr>
        <w:noProof/>
      </w:rPr>
      <w:drawing>
        <wp:inline distT="0" distB="0" distL="0" distR="0" wp14:anchorId="02690786" wp14:editId="6B8DBA8C">
          <wp:extent cx="1981200" cy="420158"/>
          <wp:effectExtent l="0" t="0" r="0" b="0"/>
          <wp:docPr id="191318454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84548"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909" cy="425186"/>
                  </a:xfrm>
                  <a:prstGeom prst="rect">
                    <a:avLst/>
                  </a:prstGeom>
                  <a:noFill/>
                  <a:ln>
                    <a:noFill/>
                  </a:ln>
                </pic:spPr>
              </pic:pic>
            </a:graphicData>
          </a:graphic>
        </wp:inline>
      </w:drawing>
    </w:r>
    <w:r>
      <w:tab/>
    </w:r>
    <w:r>
      <w:tab/>
    </w:r>
  </w:p>
  <w:p w14:paraId="18E11779" w14:textId="77777777" w:rsidR="00DF766A" w:rsidRDefault="00DF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ED2"/>
    <w:multiLevelType w:val="hybridMultilevel"/>
    <w:tmpl w:val="13921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9C3B74"/>
    <w:multiLevelType w:val="multilevel"/>
    <w:tmpl w:val="2756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068CA"/>
    <w:multiLevelType w:val="multilevel"/>
    <w:tmpl w:val="BB843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6A7418"/>
    <w:multiLevelType w:val="hybridMultilevel"/>
    <w:tmpl w:val="FD74CF6C"/>
    <w:lvl w:ilvl="0" w:tplc="9ABA56CA">
      <w:start w:val="2"/>
      <w:numFmt w:val="bullet"/>
      <w:lvlText w:val="-"/>
      <w:lvlJc w:val="left"/>
      <w:pPr>
        <w:ind w:left="720" w:hanging="360"/>
      </w:pPr>
      <w:rPr>
        <w:rFonts w:ascii="Aptos" w:eastAsiaTheme="minorHAnsi" w:hAnsi="Aptos" w:cs="Calibri"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631452">
    <w:abstractNumId w:val="2"/>
  </w:num>
  <w:num w:numId="2" w16cid:durableId="554006440">
    <w:abstractNumId w:val="1"/>
  </w:num>
  <w:num w:numId="3" w16cid:durableId="1310524037">
    <w:abstractNumId w:val="3"/>
  </w:num>
  <w:num w:numId="4" w16cid:durableId="33668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7E"/>
    <w:rsid w:val="0001362D"/>
    <w:rsid w:val="00027E2D"/>
    <w:rsid w:val="000A20B5"/>
    <w:rsid w:val="000D7A5E"/>
    <w:rsid w:val="00115446"/>
    <w:rsid w:val="00131C8C"/>
    <w:rsid w:val="00177B36"/>
    <w:rsid w:val="001F39B8"/>
    <w:rsid w:val="00206D3F"/>
    <w:rsid w:val="002518C8"/>
    <w:rsid w:val="00260480"/>
    <w:rsid w:val="002E7D23"/>
    <w:rsid w:val="0032331D"/>
    <w:rsid w:val="003303E0"/>
    <w:rsid w:val="00357BDE"/>
    <w:rsid w:val="00361A37"/>
    <w:rsid w:val="00421863"/>
    <w:rsid w:val="00426622"/>
    <w:rsid w:val="00437BD7"/>
    <w:rsid w:val="00481E8B"/>
    <w:rsid w:val="004A1970"/>
    <w:rsid w:val="004C6403"/>
    <w:rsid w:val="004E5C17"/>
    <w:rsid w:val="005057C6"/>
    <w:rsid w:val="005A5390"/>
    <w:rsid w:val="005D1A79"/>
    <w:rsid w:val="0061345A"/>
    <w:rsid w:val="0065691B"/>
    <w:rsid w:val="006A121D"/>
    <w:rsid w:val="006A68FF"/>
    <w:rsid w:val="006E51BD"/>
    <w:rsid w:val="0070571F"/>
    <w:rsid w:val="007439B1"/>
    <w:rsid w:val="007741F0"/>
    <w:rsid w:val="007D4EF4"/>
    <w:rsid w:val="008268D5"/>
    <w:rsid w:val="00845C98"/>
    <w:rsid w:val="008A5FC6"/>
    <w:rsid w:val="008C532B"/>
    <w:rsid w:val="00905925"/>
    <w:rsid w:val="0091603D"/>
    <w:rsid w:val="009F3444"/>
    <w:rsid w:val="00A11046"/>
    <w:rsid w:val="00A16985"/>
    <w:rsid w:val="00A1747A"/>
    <w:rsid w:val="00A20F85"/>
    <w:rsid w:val="00A21AA5"/>
    <w:rsid w:val="00A34328"/>
    <w:rsid w:val="00A53B34"/>
    <w:rsid w:val="00A84E54"/>
    <w:rsid w:val="00A94B0A"/>
    <w:rsid w:val="00AD57E6"/>
    <w:rsid w:val="00B3439C"/>
    <w:rsid w:val="00B45C7A"/>
    <w:rsid w:val="00B62FBC"/>
    <w:rsid w:val="00BC6F86"/>
    <w:rsid w:val="00BF2863"/>
    <w:rsid w:val="00C32DF3"/>
    <w:rsid w:val="00C5162D"/>
    <w:rsid w:val="00CA720D"/>
    <w:rsid w:val="00D21ADE"/>
    <w:rsid w:val="00D55035"/>
    <w:rsid w:val="00D56F4D"/>
    <w:rsid w:val="00D60F9E"/>
    <w:rsid w:val="00D71891"/>
    <w:rsid w:val="00D97DD6"/>
    <w:rsid w:val="00DA2783"/>
    <w:rsid w:val="00DB087E"/>
    <w:rsid w:val="00DF766A"/>
    <w:rsid w:val="00E32231"/>
    <w:rsid w:val="00EE587E"/>
    <w:rsid w:val="00F24BC2"/>
    <w:rsid w:val="00F42D58"/>
    <w:rsid w:val="00F93FAD"/>
    <w:rsid w:val="00FD20FA"/>
    <w:rsid w:val="00FF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7E"/>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87E"/>
    <w:pPr>
      <w:spacing w:before="100" w:beforeAutospacing="1" w:after="100" w:afterAutospacing="1"/>
    </w:pPr>
  </w:style>
  <w:style w:type="paragraph" w:styleId="Header">
    <w:name w:val="header"/>
    <w:basedOn w:val="Normal"/>
    <w:link w:val="HeaderChar"/>
    <w:uiPriority w:val="99"/>
    <w:unhideWhenUsed/>
    <w:rsid w:val="008268D5"/>
    <w:pPr>
      <w:tabs>
        <w:tab w:val="center" w:pos="4680"/>
        <w:tab w:val="right" w:pos="9360"/>
      </w:tabs>
    </w:pPr>
  </w:style>
  <w:style w:type="character" w:customStyle="1" w:styleId="HeaderChar">
    <w:name w:val="Header Char"/>
    <w:basedOn w:val="DefaultParagraphFont"/>
    <w:link w:val="Header"/>
    <w:uiPriority w:val="99"/>
    <w:rsid w:val="008268D5"/>
    <w:rPr>
      <w:rFonts w:ascii="Calibri" w:hAnsi="Calibri" w:cs="Calibri"/>
      <w:kern w:val="0"/>
      <w14:ligatures w14:val="none"/>
    </w:rPr>
  </w:style>
  <w:style w:type="paragraph" w:styleId="Footer">
    <w:name w:val="footer"/>
    <w:basedOn w:val="Normal"/>
    <w:link w:val="FooterChar"/>
    <w:uiPriority w:val="99"/>
    <w:unhideWhenUsed/>
    <w:rsid w:val="008268D5"/>
    <w:pPr>
      <w:tabs>
        <w:tab w:val="center" w:pos="4680"/>
        <w:tab w:val="right" w:pos="9360"/>
      </w:tabs>
    </w:pPr>
  </w:style>
  <w:style w:type="character" w:customStyle="1" w:styleId="FooterChar">
    <w:name w:val="Footer Char"/>
    <w:basedOn w:val="DefaultParagraphFont"/>
    <w:link w:val="Footer"/>
    <w:uiPriority w:val="99"/>
    <w:rsid w:val="008268D5"/>
    <w:rPr>
      <w:rFonts w:ascii="Calibri" w:hAnsi="Calibri" w:cs="Calibri"/>
      <w:kern w:val="0"/>
      <w14:ligatures w14:val="none"/>
    </w:rPr>
  </w:style>
  <w:style w:type="paragraph" w:styleId="Revision">
    <w:name w:val="Revision"/>
    <w:hidden/>
    <w:uiPriority w:val="99"/>
    <w:semiHidden/>
    <w:rsid w:val="00A94B0A"/>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131C8C"/>
    <w:rPr>
      <w:sz w:val="16"/>
      <w:szCs w:val="16"/>
    </w:rPr>
  </w:style>
  <w:style w:type="paragraph" w:styleId="CommentText">
    <w:name w:val="annotation text"/>
    <w:basedOn w:val="Normal"/>
    <w:link w:val="CommentTextChar"/>
    <w:uiPriority w:val="99"/>
    <w:unhideWhenUsed/>
    <w:rsid w:val="00131C8C"/>
    <w:rPr>
      <w:sz w:val="20"/>
      <w:szCs w:val="20"/>
    </w:rPr>
  </w:style>
  <w:style w:type="character" w:customStyle="1" w:styleId="CommentTextChar">
    <w:name w:val="Comment Text Char"/>
    <w:basedOn w:val="DefaultParagraphFont"/>
    <w:link w:val="CommentText"/>
    <w:uiPriority w:val="99"/>
    <w:rsid w:val="00131C8C"/>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1C8C"/>
    <w:rPr>
      <w:b/>
      <w:bCs/>
    </w:rPr>
  </w:style>
  <w:style w:type="character" w:customStyle="1" w:styleId="CommentSubjectChar">
    <w:name w:val="Comment Subject Char"/>
    <w:basedOn w:val="CommentTextChar"/>
    <w:link w:val="CommentSubject"/>
    <w:uiPriority w:val="99"/>
    <w:semiHidden/>
    <w:rsid w:val="00131C8C"/>
    <w:rPr>
      <w:rFonts w:ascii="Calibri" w:hAnsi="Calibri" w:cs="Calibri"/>
      <w:b/>
      <w:bCs/>
      <w:kern w:val="0"/>
      <w:sz w:val="20"/>
      <w:szCs w:val="20"/>
      <w14:ligatures w14:val="none"/>
    </w:rPr>
  </w:style>
  <w:style w:type="character" w:styleId="Hyperlink">
    <w:name w:val="Hyperlink"/>
    <w:basedOn w:val="DefaultParagraphFont"/>
    <w:uiPriority w:val="99"/>
    <w:unhideWhenUsed/>
    <w:rsid w:val="0001362D"/>
    <w:rPr>
      <w:color w:val="0563C1" w:themeColor="hyperlink"/>
      <w:u w:val="single"/>
    </w:rPr>
  </w:style>
  <w:style w:type="character" w:styleId="UnresolvedMention">
    <w:name w:val="Unresolved Mention"/>
    <w:basedOn w:val="DefaultParagraphFont"/>
    <w:uiPriority w:val="99"/>
    <w:semiHidden/>
    <w:unhideWhenUsed/>
    <w:rsid w:val="00013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54">
      <w:bodyDiv w:val="1"/>
      <w:marLeft w:val="0"/>
      <w:marRight w:val="0"/>
      <w:marTop w:val="0"/>
      <w:marBottom w:val="0"/>
      <w:divBdr>
        <w:top w:val="none" w:sz="0" w:space="0" w:color="auto"/>
        <w:left w:val="none" w:sz="0" w:space="0" w:color="auto"/>
        <w:bottom w:val="none" w:sz="0" w:space="0" w:color="auto"/>
        <w:right w:val="none" w:sz="0" w:space="0" w:color="auto"/>
      </w:divBdr>
    </w:div>
    <w:div w:id="272858170">
      <w:bodyDiv w:val="1"/>
      <w:marLeft w:val="0"/>
      <w:marRight w:val="0"/>
      <w:marTop w:val="0"/>
      <w:marBottom w:val="0"/>
      <w:divBdr>
        <w:top w:val="none" w:sz="0" w:space="0" w:color="auto"/>
        <w:left w:val="none" w:sz="0" w:space="0" w:color="auto"/>
        <w:bottom w:val="none" w:sz="0" w:space="0" w:color="auto"/>
        <w:right w:val="none" w:sz="0" w:space="0" w:color="auto"/>
      </w:divBdr>
    </w:div>
    <w:div w:id="823008192">
      <w:bodyDiv w:val="1"/>
      <w:marLeft w:val="0"/>
      <w:marRight w:val="0"/>
      <w:marTop w:val="0"/>
      <w:marBottom w:val="0"/>
      <w:divBdr>
        <w:top w:val="none" w:sz="0" w:space="0" w:color="auto"/>
        <w:left w:val="none" w:sz="0" w:space="0" w:color="auto"/>
        <w:bottom w:val="none" w:sz="0" w:space="0" w:color="auto"/>
        <w:right w:val="none" w:sz="0" w:space="0" w:color="auto"/>
      </w:divBdr>
    </w:div>
    <w:div w:id="8651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rchantspaymentscoal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2025-12-05T19:32:00Z</dcterms:created>
  <dcterms:modified xsi:type="dcterms:W3CDTF">2025-12-05T19:32:00Z</dcterms:modified>
</cp:coreProperties>
</file>