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6" w:type="dxa"/>
        <w:tblInd w:w="108" w:type="dxa"/>
        <w:tblLook w:val="0000" w:firstRow="0" w:lastRow="0" w:firstColumn="0" w:lastColumn="0" w:noHBand="0" w:noVBand="0"/>
      </w:tblPr>
      <w:tblGrid>
        <w:gridCol w:w="2195"/>
        <w:gridCol w:w="7165"/>
        <w:gridCol w:w="2076"/>
      </w:tblGrid>
      <w:tr w:rsidR="00F2727F" w14:paraId="5D5915C9" w14:textId="77777777" w:rsidTr="00673B2F">
        <w:trPr>
          <w:trHeight w:val="540"/>
        </w:trPr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BA0B9" w14:textId="77777777" w:rsidR="00F2727F" w:rsidRPr="00733B79" w:rsidRDefault="00BE4BEE">
            <w:pPr>
              <w:rPr>
                <w:rFonts w:ascii="Arial" w:hAnsi="Arial" w:cs="Arial"/>
                <w:color w:val="008000"/>
              </w:rPr>
            </w:pPr>
            <w:r>
              <w:rPr>
                <w:noProof/>
                <w:color w:val="008000"/>
              </w:rPr>
              <w:drawing>
                <wp:inline distT="0" distB="0" distL="0" distR="0" wp14:anchorId="3BB1F4D1" wp14:editId="3509CF17">
                  <wp:extent cx="12192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9"/>
            </w:tblGrid>
            <w:tr w:rsidR="00F2727F" w:rsidRPr="00733B79" w14:paraId="1EDCCE79" w14:textId="77777777">
              <w:trPr>
                <w:trHeight w:val="276"/>
                <w:tblCellSpacing w:w="0" w:type="dxa"/>
              </w:trPr>
              <w:tc>
                <w:tcPr>
                  <w:tcW w:w="2860" w:type="dxa"/>
                  <w:vMerge w:val="restart"/>
                </w:tcPr>
                <w:p w14:paraId="3A31AD94" w14:textId="77777777" w:rsidR="00F2727F" w:rsidRPr="00733B79" w:rsidRDefault="00F2727F">
                  <w:pPr>
                    <w:rPr>
                      <w:color w:val="008000"/>
                    </w:rPr>
                  </w:pPr>
                </w:p>
              </w:tc>
            </w:tr>
            <w:tr w:rsidR="00F2727F" w:rsidRPr="00733B79" w14:paraId="7F283C07" w14:textId="77777777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17E9CB48" w14:textId="77777777" w:rsidR="00F2727F" w:rsidRPr="00733B79" w:rsidRDefault="00F2727F">
                  <w:pPr>
                    <w:rPr>
                      <w:color w:val="008000"/>
                    </w:rPr>
                  </w:pPr>
                </w:p>
              </w:tc>
            </w:tr>
          </w:tbl>
          <w:p w14:paraId="4593E58F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vAlign w:val="bottom"/>
          </w:tcPr>
          <w:p w14:paraId="55DA7318" w14:textId="77777777" w:rsidR="00F2727F" w:rsidRDefault="00F2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TOWN OF YARMOUTH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E38E2" w14:textId="77777777" w:rsidR="00F2727F" w:rsidRPr="00B46D60" w:rsidRDefault="00B46D6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sz w:val="18"/>
                <w:szCs w:val="18"/>
              </w:rPr>
              <w:t>Administration</w:t>
            </w:r>
          </w:p>
        </w:tc>
      </w:tr>
      <w:tr w:rsidR="00F2727F" w14:paraId="3F15E83C" w14:textId="77777777" w:rsidTr="00673B2F">
        <w:trPr>
          <w:trHeight w:val="432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9823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8" w:space="0" w:color="008000"/>
              <w:right w:val="nil"/>
            </w:tcBorders>
            <w:vAlign w:val="bottom"/>
          </w:tcPr>
          <w:p w14:paraId="14CA4192" w14:textId="77777777" w:rsidR="00F2727F" w:rsidRDefault="00F2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PUBLIC WORKS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4320" w14:textId="77777777" w:rsidR="00F2727F" w:rsidRDefault="00F2727F" w:rsidP="00A202C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673B2F">
              <w:rPr>
                <w:bCs/>
                <w:sz w:val="18"/>
                <w:szCs w:val="18"/>
              </w:rPr>
              <w:t xml:space="preserve"> </w:t>
            </w:r>
            <w:r w:rsidR="0077198F">
              <w:rPr>
                <w:bCs/>
                <w:sz w:val="18"/>
                <w:szCs w:val="18"/>
              </w:rPr>
              <w:t>Engineering</w:t>
            </w:r>
          </w:p>
        </w:tc>
      </w:tr>
      <w:tr w:rsidR="00F2727F" w14:paraId="6E98275E" w14:textId="77777777" w:rsidTr="00673B2F">
        <w:trPr>
          <w:trHeight w:val="330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15D2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single" w:sz="48" w:space="0" w:color="008000"/>
              <w:left w:val="nil"/>
              <w:bottom w:val="nil"/>
              <w:right w:val="nil"/>
            </w:tcBorders>
            <w:vAlign w:val="bottom"/>
          </w:tcPr>
          <w:p w14:paraId="7B00F2D3" w14:textId="77777777" w:rsidR="00F2727F" w:rsidRDefault="005B4F0F" w:rsidP="005B4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 BUCK ISLAND ROAD, WEST YARMOUTH, MA  02673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E708B2D" w14:textId="77777777" w:rsidR="00F2727F" w:rsidRDefault="00F2727F" w:rsidP="00673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9B9">
              <w:rPr>
                <w:sz w:val="18"/>
                <w:szCs w:val="18"/>
              </w:rPr>
              <w:t>Building &amp; Grounds</w:t>
            </w:r>
          </w:p>
        </w:tc>
      </w:tr>
      <w:tr w:rsidR="00F2727F" w14:paraId="231BFEAF" w14:textId="77777777" w:rsidTr="00673B2F">
        <w:trPr>
          <w:trHeight w:val="360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4240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969E4" w14:textId="77777777" w:rsidR="00F2727F" w:rsidRDefault="00F2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Telephone (508) 398-2231 ext. 1250      Fax (508) 7</w:t>
            </w:r>
            <w:r w:rsidR="005B4F0F">
              <w:rPr>
                <w:sz w:val="20"/>
              </w:rPr>
              <w:t>71-7998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4802518" w14:textId="77777777" w:rsidR="00F2727F" w:rsidRDefault="00F2727F" w:rsidP="00B4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198F">
              <w:rPr>
                <w:sz w:val="18"/>
                <w:szCs w:val="18"/>
              </w:rPr>
              <w:t xml:space="preserve"> Highway</w:t>
            </w:r>
          </w:p>
        </w:tc>
      </w:tr>
      <w:tr w:rsidR="00F2727F" w14:paraId="03782B2D" w14:textId="77777777" w:rsidTr="008E11AB">
        <w:trPr>
          <w:trHeight w:val="315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47CF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D8791" w14:textId="77777777" w:rsidR="00F2727F" w:rsidRDefault="00F2727F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C46CECC" w14:textId="77777777" w:rsidR="00F2727F" w:rsidRDefault="00F2727F" w:rsidP="00B4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73B2F">
              <w:rPr>
                <w:sz w:val="18"/>
                <w:szCs w:val="18"/>
              </w:rPr>
              <w:t xml:space="preserve">  </w:t>
            </w:r>
            <w:r w:rsidR="0077198F">
              <w:rPr>
                <w:sz w:val="18"/>
                <w:szCs w:val="18"/>
              </w:rPr>
              <w:t>Waste Management</w:t>
            </w:r>
          </w:p>
        </w:tc>
      </w:tr>
      <w:tr w:rsidR="00F2727F" w14:paraId="70DA0369" w14:textId="77777777" w:rsidTr="008E11AB">
        <w:trPr>
          <w:trHeight w:val="315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0044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FCE7" w14:textId="77777777" w:rsidR="00F2727F" w:rsidRDefault="00F2727F" w:rsidP="00900D3C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FB61FB5" w14:textId="77777777" w:rsidR="0002032C" w:rsidRDefault="00F2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198F">
              <w:rPr>
                <w:sz w:val="18"/>
                <w:szCs w:val="18"/>
              </w:rPr>
              <w:t xml:space="preserve"> Water</w:t>
            </w:r>
            <w:r>
              <w:rPr>
                <w:sz w:val="18"/>
                <w:szCs w:val="18"/>
              </w:rPr>
              <w:t xml:space="preserve"> </w:t>
            </w:r>
            <w:r w:rsidR="0002032C">
              <w:rPr>
                <w:sz w:val="18"/>
                <w:szCs w:val="18"/>
              </w:rPr>
              <w:t xml:space="preserve"> </w:t>
            </w:r>
          </w:p>
          <w:p w14:paraId="78EB2AE8" w14:textId="77777777" w:rsidR="00F2727F" w:rsidRDefault="0002032C" w:rsidP="00673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76C1BA2B" w14:textId="77777777" w:rsidR="00F2727F" w:rsidRDefault="00F2727F">
      <w:pPr>
        <w:sectPr w:rsidR="00F2727F" w:rsidSect="008E11AB">
          <w:pgSz w:w="12240" w:h="15840"/>
          <w:pgMar w:top="360" w:right="360" w:bottom="1440" w:left="360" w:header="720" w:footer="720" w:gutter="0"/>
          <w:cols w:space="720"/>
          <w:docGrid w:linePitch="360"/>
        </w:sectPr>
      </w:pPr>
    </w:p>
    <w:p w14:paraId="010FFA89" w14:textId="77777777" w:rsidR="00397BFD" w:rsidRDefault="00397BFD" w:rsidP="00A60EB4">
      <w:r>
        <w:t>For immediate release</w:t>
      </w:r>
    </w:p>
    <w:p w14:paraId="5D0B176F" w14:textId="530C5BDB" w:rsidR="00354E78" w:rsidRDefault="007A5369" w:rsidP="00A60EB4">
      <w:r>
        <w:t xml:space="preserve">October </w:t>
      </w:r>
      <w:r w:rsidR="00BD41F6">
        <w:t>19</w:t>
      </w:r>
      <w:r>
        <w:t>, 2022</w:t>
      </w:r>
    </w:p>
    <w:p w14:paraId="0D8EE9FA" w14:textId="77777777" w:rsidR="00C271F6" w:rsidRDefault="00C271F6" w:rsidP="00A60EB4"/>
    <w:p w14:paraId="3EB2C2EF" w14:textId="77777777" w:rsidR="00E64A12" w:rsidRDefault="00E64A12" w:rsidP="00E64A12">
      <w:pPr>
        <w:jc w:val="center"/>
        <w:rPr>
          <w:u w:val="single"/>
        </w:rPr>
      </w:pPr>
      <w:r w:rsidRPr="00E64A12">
        <w:rPr>
          <w:u w:val="single"/>
        </w:rPr>
        <w:t xml:space="preserve"> </w:t>
      </w:r>
      <w:r w:rsidRPr="00C271F6">
        <w:rPr>
          <w:u w:val="single"/>
        </w:rPr>
        <w:t>PRESS RELEASE</w:t>
      </w:r>
    </w:p>
    <w:p w14:paraId="6AED1D9E" w14:textId="63A85ED6" w:rsidR="00C271F6" w:rsidRDefault="007A5369" w:rsidP="00E64A12">
      <w:pPr>
        <w:jc w:val="center"/>
      </w:pPr>
      <w:r>
        <w:t>National Grid</w:t>
      </w:r>
    </w:p>
    <w:p w14:paraId="25962B97" w14:textId="6A93CDC2" w:rsidR="005D1A9A" w:rsidRDefault="007A5369" w:rsidP="00E64A12">
      <w:pPr>
        <w:jc w:val="center"/>
      </w:pPr>
      <w:r>
        <w:t>Route 6A, Yarmouth Port</w:t>
      </w:r>
    </w:p>
    <w:p w14:paraId="0D12F6A2" w14:textId="7FC85BB5" w:rsidR="00883D55" w:rsidRDefault="00F26357" w:rsidP="00E64A12">
      <w:pPr>
        <w:jc w:val="center"/>
        <w:rPr>
          <w:b/>
        </w:rPr>
      </w:pPr>
      <w:r w:rsidRPr="00F26357">
        <w:rPr>
          <w:b/>
        </w:rPr>
        <w:t xml:space="preserve">Expect Delays </w:t>
      </w:r>
      <w:r w:rsidR="007A5369">
        <w:rPr>
          <w:b/>
        </w:rPr>
        <w:t>October</w:t>
      </w:r>
      <w:r w:rsidR="00557F9F">
        <w:rPr>
          <w:b/>
        </w:rPr>
        <w:t xml:space="preserve"> </w:t>
      </w:r>
      <w:r w:rsidR="007A5369">
        <w:rPr>
          <w:b/>
        </w:rPr>
        <w:t xml:space="preserve">2022 </w:t>
      </w:r>
      <w:r w:rsidR="00557F9F">
        <w:rPr>
          <w:b/>
        </w:rPr>
        <w:t xml:space="preserve">through May </w:t>
      </w:r>
      <w:r w:rsidR="007A5369">
        <w:rPr>
          <w:b/>
        </w:rPr>
        <w:t>2023</w:t>
      </w:r>
    </w:p>
    <w:p w14:paraId="2B8C4FDD" w14:textId="77777777" w:rsidR="00F26357" w:rsidRPr="00F26357" w:rsidRDefault="00113353" w:rsidP="00E64A12">
      <w:pPr>
        <w:jc w:val="center"/>
        <w:rPr>
          <w:b/>
        </w:rPr>
      </w:pPr>
      <w:r>
        <w:rPr>
          <w:b/>
        </w:rPr>
        <w:t xml:space="preserve"> </w:t>
      </w:r>
    </w:p>
    <w:p w14:paraId="40E08ECD" w14:textId="04E4A5EB" w:rsidR="00EE5044" w:rsidRDefault="00EE5044" w:rsidP="00F26357">
      <w:pPr>
        <w:jc w:val="center"/>
      </w:pPr>
      <w:r w:rsidRPr="00F26357">
        <w:t>Please</w:t>
      </w:r>
      <w:r w:rsidR="00F26357" w:rsidRPr="00F26357">
        <w:t xml:space="preserve"> expect </w:t>
      </w:r>
      <w:r w:rsidR="005D1A9A">
        <w:t xml:space="preserve">traffic </w:t>
      </w:r>
      <w:r w:rsidR="00F26357" w:rsidRPr="00F26357">
        <w:t xml:space="preserve">delays </w:t>
      </w:r>
      <w:r w:rsidR="00557F9F">
        <w:t xml:space="preserve">along </w:t>
      </w:r>
      <w:r w:rsidR="007A5369">
        <w:t>Route 6A between</w:t>
      </w:r>
      <w:r w:rsidR="00BD41F6">
        <w:t xml:space="preserve"> the</w:t>
      </w:r>
      <w:r w:rsidR="007A5369">
        <w:t xml:space="preserve"> Barnstable Town Line to Summer Street</w:t>
      </w:r>
      <w:r w:rsidR="0079698A">
        <w:t xml:space="preserve">. </w:t>
      </w:r>
    </w:p>
    <w:p w14:paraId="01D32D30" w14:textId="273C3530" w:rsidR="00557F9F" w:rsidRDefault="007A5369" w:rsidP="00F26357">
      <w:pPr>
        <w:jc w:val="center"/>
      </w:pPr>
      <w:r>
        <w:t>National Grid</w:t>
      </w:r>
      <w:r w:rsidR="00557F9F">
        <w:t xml:space="preserve"> with their contractor, </w:t>
      </w:r>
      <w:proofErr w:type="spellStart"/>
      <w:r>
        <w:t>Neuco</w:t>
      </w:r>
      <w:proofErr w:type="spellEnd"/>
      <w:r w:rsidR="00BD41F6">
        <w:t xml:space="preserve"> Inc.</w:t>
      </w:r>
      <w:r w:rsidR="00557F9F">
        <w:t xml:space="preserve">, will be replacing </w:t>
      </w:r>
      <w:r>
        <w:t>the existing gas main</w:t>
      </w:r>
      <w:r w:rsidR="00557F9F">
        <w:t xml:space="preserve"> within the roadway of </w:t>
      </w:r>
      <w:r>
        <w:t>Route 6A</w:t>
      </w:r>
      <w:r w:rsidR="00BD41F6">
        <w:t xml:space="preserve"> between the Barnstable Town Line to Summer Street, Minden Lane and </w:t>
      </w:r>
      <w:r w:rsidR="00371FAB">
        <w:t xml:space="preserve">the northern </w:t>
      </w:r>
      <w:r w:rsidR="00BD41F6">
        <w:t>portion of Willow Street</w:t>
      </w:r>
      <w:r w:rsidR="00557F9F">
        <w:t xml:space="preserve">. </w:t>
      </w:r>
    </w:p>
    <w:p w14:paraId="1D792E55" w14:textId="640EB42C" w:rsidR="0079698A" w:rsidRDefault="005D1A9A" w:rsidP="00F26357">
      <w:pPr>
        <w:jc w:val="center"/>
      </w:pPr>
      <w:r>
        <w:t xml:space="preserve">Traffic will be alternating throughout the day from </w:t>
      </w:r>
      <w:r w:rsidR="00BD41F6">
        <w:t>7</w:t>
      </w:r>
      <w:r>
        <w:t xml:space="preserve">:00AM through </w:t>
      </w:r>
      <w:r w:rsidR="007A5369">
        <w:t>3</w:t>
      </w:r>
      <w:r>
        <w:t>:00PM</w:t>
      </w:r>
      <w:r w:rsidR="00580450">
        <w:t xml:space="preserve">; subject to </w:t>
      </w:r>
      <w:proofErr w:type="spellStart"/>
      <w:r w:rsidR="00580450">
        <w:t>MassDOT</w:t>
      </w:r>
      <w:proofErr w:type="spellEnd"/>
      <w:r w:rsidR="00580450">
        <w:t xml:space="preserve"> approval of modified hours.</w:t>
      </w:r>
    </w:p>
    <w:p w14:paraId="4CF32695" w14:textId="77777777" w:rsidR="00557F9F" w:rsidRDefault="00557F9F" w:rsidP="00F26357">
      <w:pPr>
        <w:jc w:val="center"/>
      </w:pPr>
    </w:p>
    <w:p w14:paraId="271BF959" w14:textId="244702F9" w:rsidR="00557F9F" w:rsidRDefault="00557F9F" w:rsidP="00F26357">
      <w:pPr>
        <w:jc w:val="center"/>
      </w:pPr>
      <w:r>
        <w:t xml:space="preserve">Work is estimated to begin </w:t>
      </w:r>
      <w:r w:rsidR="00BD41F6">
        <w:t>Monday</w:t>
      </w:r>
      <w:r>
        <w:t xml:space="preserve">, </w:t>
      </w:r>
      <w:r w:rsidR="007A5369">
        <w:t xml:space="preserve">October </w:t>
      </w:r>
      <w:r w:rsidR="00BD41F6">
        <w:t>24</w:t>
      </w:r>
      <w:r>
        <w:t xml:space="preserve">, </w:t>
      </w:r>
      <w:proofErr w:type="gramStart"/>
      <w:r>
        <w:t>2022</w:t>
      </w:r>
      <w:proofErr w:type="gramEnd"/>
      <w:r>
        <w:t xml:space="preserve"> and continue through Friday, May 2</w:t>
      </w:r>
      <w:r w:rsidR="007A5369">
        <w:t>6</w:t>
      </w:r>
      <w:r>
        <w:t xml:space="preserve">, </w:t>
      </w:r>
      <w:r w:rsidR="007A5369">
        <w:t>2023</w:t>
      </w:r>
      <w:r>
        <w:t>.</w:t>
      </w:r>
    </w:p>
    <w:p w14:paraId="77398F4A" w14:textId="77777777" w:rsidR="00557F9F" w:rsidRDefault="00557F9F" w:rsidP="00F26357">
      <w:pPr>
        <w:jc w:val="center"/>
      </w:pPr>
    </w:p>
    <w:p w14:paraId="763B006B" w14:textId="77777777" w:rsidR="00557F9F" w:rsidRDefault="00557F9F" w:rsidP="00F26357">
      <w:pPr>
        <w:jc w:val="center"/>
      </w:pPr>
      <w:r>
        <w:t xml:space="preserve">Pedestrians and bicyclists, please use caution through the active construction zone. </w:t>
      </w:r>
    </w:p>
    <w:p w14:paraId="508BF07F" w14:textId="77777777" w:rsidR="007B6778" w:rsidRPr="00210671" w:rsidRDefault="007B6778" w:rsidP="00210671">
      <w:pPr>
        <w:jc w:val="center"/>
      </w:pPr>
    </w:p>
    <w:p w14:paraId="23961A12" w14:textId="77777777" w:rsidR="00354E78" w:rsidRDefault="00FA5CD7" w:rsidP="00265273">
      <w:pPr>
        <w:jc w:val="center"/>
      </w:pPr>
      <w:r>
        <w:t xml:space="preserve"> P</w:t>
      </w:r>
      <w:r w:rsidR="00D70A00">
        <w:t xml:space="preserve">olice </w:t>
      </w:r>
      <w:r w:rsidR="00354E78">
        <w:t>Details will</w:t>
      </w:r>
      <w:r w:rsidR="00E64A12">
        <w:t xml:space="preserve"> be on site at a</w:t>
      </w:r>
      <w:r w:rsidR="00600011">
        <w:t>ll times for traffic control &amp;</w:t>
      </w:r>
      <w:r w:rsidR="00E64A12">
        <w:t xml:space="preserve"> public </w:t>
      </w:r>
      <w:r w:rsidR="00BD4C69">
        <w:t>assistance</w:t>
      </w:r>
      <w:r w:rsidR="00354E78">
        <w:t>.</w:t>
      </w:r>
    </w:p>
    <w:p w14:paraId="5072E786" w14:textId="005311FB" w:rsidR="00E64A12" w:rsidRDefault="00E64A12" w:rsidP="00FA5CD7">
      <w:pPr>
        <w:pBdr>
          <w:bottom w:val="dotted" w:sz="24" w:space="1" w:color="auto"/>
        </w:pBdr>
        <w:jc w:val="center"/>
      </w:pPr>
      <w:r>
        <w:t xml:space="preserve"> Please direct questions or co</w:t>
      </w:r>
      <w:r w:rsidR="00600011">
        <w:t xml:space="preserve">ncerns to the </w:t>
      </w:r>
      <w:r w:rsidR="007A5369">
        <w:t>National Grid</w:t>
      </w:r>
      <w:r>
        <w:t xml:space="preserve"> office at </w:t>
      </w:r>
      <w:r w:rsidR="00BD41F6" w:rsidRPr="00BD41F6">
        <w:t>1-800-233-5325</w:t>
      </w:r>
    </w:p>
    <w:p w14:paraId="6328E85A" w14:textId="77777777" w:rsidR="00C271F6" w:rsidRDefault="00C271F6" w:rsidP="00C271F6">
      <w:pPr>
        <w:jc w:val="center"/>
      </w:pPr>
    </w:p>
    <w:p w14:paraId="3366BB62" w14:textId="77777777" w:rsidR="00C271F6" w:rsidRPr="00C271F6" w:rsidRDefault="00C271F6" w:rsidP="00C271F6">
      <w:pPr>
        <w:jc w:val="center"/>
      </w:pPr>
    </w:p>
    <w:p w14:paraId="072F6DA8" w14:textId="77777777" w:rsidR="00A60EB4" w:rsidRDefault="00A60EB4" w:rsidP="00A60EB4"/>
    <w:p w14:paraId="418E6B59" w14:textId="77777777" w:rsidR="00A60EB4" w:rsidRDefault="00A60EB4" w:rsidP="00A60EB4"/>
    <w:p w14:paraId="0FB8FA58" w14:textId="77777777" w:rsidR="00A60EB4" w:rsidRDefault="00A60EB4" w:rsidP="00A60EB4"/>
    <w:p w14:paraId="4668C09C" w14:textId="77777777" w:rsidR="00A60EB4" w:rsidRDefault="00A60EB4" w:rsidP="00A60EB4"/>
    <w:sectPr w:rsidR="00A60EB4" w:rsidSect="002F1B0A">
      <w:type w:val="continuous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0C3" w14:textId="77777777" w:rsidR="0085482A" w:rsidRDefault="0085482A" w:rsidP="00743F9E">
      <w:r>
        <w:separator/>
      </w:r>
    </w:p>
  </w:endnote>
  <w:endnote w:type="continuationSeparator" w:id="0">
    <w:p w14:paraId="607DC0EA" w14:textId="77777777" w:rsidR="0085482A" w:rsidRDefault="0085482A" w:rsidP="007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6B06" w14:textId="77777777" w:rsidR="0085482A" w:rsidRDefault="0085482A" w:rsidP="00743F9E">
      <w:r>
        <w:separator/>
      </w:r>
    </w:p>
  </w:footnote>
  <w:footnote w:type="continuationSeparator" w:id="0">
    <w:p w14:paraId="46F93EC3" w14:textId="77777777" w:rsidR="0085482A" w:rsidRDefault="0085482A" w:rsidP="0074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B6D"/>
    <w:multiLevelType w:val="hybridMultilevel"/>
    <w:tmpl w:val="C2A6FF4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5F06805"/>
    <w:multiLevelType w:val="hybridMultilevel"/>
    <w:tmpl w:val="D28E34D2"/>
    <w:lvl w:ilvl="0" w:tplc="7FF2CD3A">
      <w:start w:val="29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5E1"/>
    <w:multiLevelType w:val="hybridMultilevel"/>
    <w:tmpl w:val="484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F7B"/>
    <w:multiLevelType w:val="hybridMultilevel"/>
    <w:tmpl w:val="23CA4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83779"/>
    <w:multiLevelType w:val="hybridMultilevel"/>
    <w:tmpl w:val="639CCA50"/>
    <w:lvl w:ilvl="0" w:tplc="52A626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02D"/>
    <w:multiLevelType w:val="hybridMultilevel"/>
    <w:tmpl w:val="82C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749"/>
    <w:multiLevelType w:val="hybridMultilevel"/>
    <w:tmpl w:val="1986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3BBF"/>
    <w:multiLevelType w:val="hybridMultilevel"/>
    <w:tmpl w:val="9452A8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7010AC1"/>
    <w:multiLevelType w:val="hybridMultilevel"/>
    <w:tmpl w:val="2AB0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908"/>
    <w:multiLevelType w:val="hybridMultilevel"/>
    <w:tmpl w:val="5992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B81"/>
    <w:multiLevelType w:val="hybridMultilevel"/>
    <w:tmpl w:val="5AEA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71D3"/>
    <w:multiLevelType w:val="hybridMultilevel"/>
    <w:tmpl w:val="EAC0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31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49605989">
    <w:abstractNumId w:val="10"/>
  </w:num>
  <w:num w:numId="2" w16cid:durableId="1056004152">
    <w:abstractNumId w:val="2"/>
  </w:num>
  <w:num w:numId="3" w16cid:durableId="1154566181">
    <w:abstractNumId w:val="0"/>
  </w:num>
  <w:num w:numId="4" w16cid:durableId="281544940">
    <w:abstractNumId w:val="7"/>
  </w:num>
  <w:num w:numId="5" w16cid:durableId="92241089">
    <w:abstractNumId w:val="4"/>
  </w:num>
  <w:num w:numId="6" w16cid:durableId="123470879">
    <w:abstractNumId w:val="1"/>
  </w:num>
  <w:num w:numId="7" w16cid:durableId="115295723">
    <w:abstractNumId w:val="12"/>
  </w:num>
  <w:num w:numId="8" w16cid:durableId="1239093389">
    <w:abstractNumId w:val="11"/>
  </w:num>
  <w:num w:numId="9" w16cid:durableId="410396944">
    <w:abstractNumId w:val="9"/>
  </w:num>
  <w:num w:numId="10" w16cid:durableId="1991203472">
    <w:abstractNumId w:val="6"/>
  </w:num>
  <w:num w:numId="11" w16cid:durableId="104427223">
    <w:abstractNumId w:val="3"/>
  </w:num>
  <w:num w:numId="12" w16cid:durableId="1265573899">
    <w:abstractNumId w:val="12"/>
  </w:num>
  <w:num w:numId="13" w16cid:durableId="28915469">
    <w:abstractNumId w:val="11"/>
  </w:num>
  <w:num w:numId="14" w16cid:durableId="733046758">
    <w:abstractNumId w:val="5"/>
  </w:num>
  <w:num w:numId="15" w16cid:durableId="1795755505">
    <w:abstractNumId w:val="9"/>
  </w:num>
  <w:num w:numId="16" w16cid:durableId="1260024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AB"/>
    <w:rsid w:val="0001279D"/>
    <w:rsid w:val="0002032C"/>
    <w:rsid w:val="000216A0"/>
    <w:rsid w:val="00040E45"/>
    <w:rsid w:val="000A26FD"/>
    <w:rsid w:val="000D2703"/>
    <w:rsid w:val="0010679D"/>
    <w:rsid w:val="00113353"/>
    <w:rsid w:val="00113DE5"/>
    <w:rsid w:val="00121223"/>
    <w:rsid w:val="00131185"/>
    <w:rsid w:val="00141629"/>
    <w:rsid w:val="00153DEA"/>
    <w:rsid w:val="001B28A2"/>
    <w:rsid w:val="001C4B8E"/>
    <w:rsid w:val="001D1BE5"/>
    <w:rsid w:val="001D4272"/>
    <w:rsid w:val="001E7282"/>
    <w:rsid w:val="00210671"/>
    <w:rsid w:val="00217418"/>
    <w:rsid w:val="00226480"/>
    <w:rsid w:val="00245D74"/>
    <w:rsid w:val="00251A86"/>
    <w:rsid w:val="00265273"/>
    <w:rsid w:val="00273C72"/>
    <w:rsid w:val="002810FC"/>
    <w:rsid w:val="002832DF"/>
    <w:rsid w:val="002A5918"/>
    <w:rsid w:val="002F07DA"/>
    <w:rsid w:val="002F1B0A"/>
    <w:rsid w:val="003408EB"/>
    <w:rsid w:val="003413D7"/>
    <w:rsid w:val="003464B8"/>
    <w:rsid w:val="00354E78"/>
    <w:rsid w:val="00356BFA"/>
    <w:rsid w:val="00366A81"/>
    <w:rsid w:val="00371FAB"/>
    <w:rsid w:val="003818CF"/>
    <w:rsid w:val="00397BFD"/>
    <w:rsid w:val="003A5D72"/>
    <w:rsid w:val="0043005D"/>
    <w:rsid w:val="00431028"/>
    <w:rsid w:val="0043411B"/>
    <w:rsid w:val="00437FEE"/>
    <w:rsid w:val="004825B6"/>
    <w:rsid w:val="004A5182"/>
    <w:rsid w:val="004A5EEE"/>
    <w:rsid w:val="004B0D29"/>
    <w:rsid w:val="004B3E70"/>
    <w:rsid w:val="004C6DA8"/>
    <w:rsid w:val="004F25E7"/>
    <w:rsid w:val="00511A5A"/>
    <w:rsid w:val="0053064C"/>
    <w:rsid w:val="0055004E"/>
    <w:rsid w:val="00551040"/>
    <w:rsid w:val="0055252B"/>
    <w:rsid w:val="00557F9F"/>
    <w:rsid w:val="00560428"/>
    <w:rsid w:val="00580450"/>
    <w:rsid w:val="005837E7"/>
    <w:rsid w:val="005B29F8"/>
    <w:rsid w:val="005B4F0F"/>
    <w:rsid w:val="005B56BA"/>
    <w:rsid w:val="005C7ED8"/>
    <w:rsid w:val="005D1A9A"/>
    <w:rsid w:val="005D3E7B"/>
    <w:rsid w:val="005E7E4B"/>
    <w:rsid w:val="005F6320"/>
    <w:rsid w:val="00600011"/>
    <w:rsid w:val="00673B2F"/>
    <w:rsid w:val="00675EA0"/>
    <w:rsid w:val="006957B7"/>
    <w:rsid w:val="006F4666"/>
    <w:rsid w:val="00710D89"/>
    <w:rsid w:val="00733B79"/>
    <w:rsid w:val="00741A51"/>
    <w:rsid w:val="00743F9E"/>
    <w:rsid w:val="007603FD"/>
    <w:rsid w:val="0077198F"/>
    <w:rsid w:val="0079698A"/>
    <w:rsid w:val="007A0D85"/>
    <w:rsid w:val="007A5369"/>
    <w:rsid w:val="007B6778"/>
    <w:rsid w:val="007C05D2"/>
    <w:rsid w:val="007D34A8"/>
    <w:rsid w:val="0084796D"/>
    <w:rsid w:val="0085482A"/>
    <w:rsid w:val="00865C6E"/>
    <w:rsid w:val="00871E05"/>
    <w:rsid w:val="00877F07"/>
    <w:rsid w:val="00883D55"/>
    <w:rsid w:val="008E083D"/>
    <w:rsid w:val="008E11AB"/>
    <w:rsid w:val="008E5A6F"/>
    <w:rsid w:val="008F1CB6"/>
    <w:rsid w:val="008F3A7B"/>
    <w:rsid w:val="008F7DF1"/>
    <w:rsid w:val="00900D3C"/>
    <w:rsid w:val="009030E3"/>
    <w:rsid w:val="0096762B"/>
    <w:rsid w:val="0099249B"/>
    <w:rsid w:val="009A7096"/>
    <w:rsid w:val="009F583F"/>
    <w:rsid w:val="00A11023"/>
    <w:rsid w:val="00A13F35"/>
    <w:rsid w:val="00A14F6D"/>
    <w:rsid w:val="00A202C3"/>
    <w:rsid w:val="00A215C0"/>
    <w:rsid w:val="00A60EB4"/>
    <w:rsid w:val="00A84A44"/>
    <w:rsid w:val="00AA39A8"/>
    <w:rsid w:val="00AB2938"/>
    <w:rsid w:val="00AC5440"/>
    <w:rsid w:val="00AD48CE"/>
    <w:rsid w:val="00B06FBE"/>
    <w:rsid w:val="00B20085"/>
    <w:rsid w:val="00B2494A"/>
    <w:rsid w:val="00B40224"/>
    <w:rsid w:val="00B46D60"/>
    <w:rsid w:val="00B65E6E"/>
    <w:rsid w:val="00B760B3"/>
    <w:rsid w:val="00B8190C"/>
    <w:rsid w:val="00B912B9"/>
    <w:rsid w:val="00BD41F6"/>
    <w:rsid w:val="00BD4C69"/>
    <w:rsid w:val="00BE4BEE"/>
    <w:rsid w:val="00BF2B8F"/>
    <w:rsid w:val="00C07AAD"/>
    <w:rsid w:val="00C271F6"/>
    <w:rsid w:val="00C31C73"/>
    <w:rsid w:val="00C705CE"/>
    <w:rsid w:val="00C7355D"/>
    <w:rsid w:val="00CE0FD3"/>
    <w:rsid w:val="00CF1ABA"/>
    <w:rsid w:val="00D70A00"/>
    <w:rsid w:val="00D919B9"/>
    <w:rsid w:val="00D9386D"/>
    <w:rsid w:val="00DF1087"/>
    <w:rsid w:val="00E03D27"/>
    <w:rsid w:val="00E22AC7"/>
    <w:rsid w:val="00E40337"/>
    <w:rsid w:val="00E420B2"/>
    <w:rsid w:val="00E47CA9"/>
    <w:rsid w:val="00E62924"/>
    <w:rsid w:val="00E635BA"/>
    <w:rsid w:val="00E64A12"/>
    <w:rsid w:val="00E74B07"/>
    <w:rsid w:val="00EA0952"/>
    <w:rsid w:val="00EA579B"/>
    <w:rsid w:val="00EB3E34"/>
    <w:rsid w:val="00EE4D58"/>
    <w:rsid w:val="00EE5044"/>
    <w:rsid w:val="00EF6BA4"/>
    <w:rsid w:val="00F12844"/>
    <w:rsid w:val="00F26357"/>
    <w:rsid w:val="00F2727F"/>
    <w:rsid w:val="00F40AF2"/>
    <w:rsid w:val="00F426FC"/>
    <w:rsid w:val="00F52291"/>
    <w:rsid w:val="00F55B99"/>
    <w:rsid w:val="00F802C8"/>
    <w:rsid w:val="00FA5CD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0AD4"/>
  <w15:docId w15:val="{C386F181-6E7E-4B0E-B819-C17A00B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10F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810FC"/>
    <w:rPr>
      <w:b/>
      <w:sz w:val="24"/>
    </w:rPr>
  </w:style>
  <w:style w:type="paragraph" w:styleId="BodyText">
    <w:name w:val="Body Text"/>
    <w:basedOn w:val="Normal"/>
    <w:link w:val="BodyTextChar"/>
    <w:unhideWhenUsed/>
    <w:rsid w:val="003464B8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64B8"/>
    <w:rPr>
      <w:sz w:val="24"/>
    </w:rPr>
  </w:style>
  <w:style w:type="paragraph" w:styleId="Header">
    <w:name w:val="header"/>
    <w:basedOn w:val="Normal"/>
    <w:link w:val="HeaderChar"/>
    <w:uiPriority w:val="99"/>
    <w:rsid w:val="00743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9E"/>
    <w:rPr>
      <w:sz w:val="24"/>
      <w:szCs w:val="24"/>
    </w:rPr>
  </w:style>
  <w:style w:type="character" w:styleId="Hyperlink">
    <w:name w:val="Hyperlink"/>
    <w:basedOn w:val="DefaultParagraphFont"/>
    <w:unhideWhenUsed/>
    <w:rsid w:val="00A6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mluebke</dc:creator>
  <cp:lastModifiedBy>Communications</cp:lastModifiedBy>
  <cp:revision>2</cp:revision>
  <cp:lastPrinted>2019-12-20T20:42:00Z</cp:lastPrinted>
  <dcterms:created xsi:type="dcterms:W3CDTF">2022-11-07T17:22:00Z</dcterms:created>
  <dcterms:modified xsi:type="dcterms:W3CDTF">2022-11-07T17:22:00Z</dcterms:modified>
</cp:coreProperties>
</file>