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13A2" w:rsidRDefault="00A25402" w:rsidP="005413A2">
      <w:pPr>
        <w:spacing w:after="240"/>
      </w:pPr>
      <w:r>
        <w:t>CREATION CARE GREEN TIPS</w:t>
      </w:r>
      <w:proofErr w:type="gramStart"/>
      <w:r>
        <w:t>  -</w:t>
      </w:r>
      <w:proofErr w:type="gramEnd"/>
      <w:r>
        <w:t xml:space="preserve">  </w:t>
      </w:r>
      <w:r w:rsidR="00D40DEB">
        <w:t>JANUARY 2021</w:t>
      </w:r>
    </w:p>
    <w:p w:rsidR="00555B04" w:rsidRDefault="00555B04" w:rsidP="00D40DEB">
      <w:pPr>
        <w:spacing w:after="240"/>
      </w:pPr>
      <w:r>
        <w:t xml:space="preserve">1.  </w:t>
      </w:r>
      <w:r w:rsidR="00224CDC">
        <w:t xml:space="preserve">As part of Minnesota's pandemic response, the Public Utilities Commission (PUC) tasked the state's largest utility companies to develop plans for economic recovery that would hasten the transition to </w:t>
      </w:r>
      <w:r w:rsidR="00224CDC">
        <w:rPr>
          <w:b/>
          <w:bCs/>
        </w:rPr>
        <w:t xml:space="preserve">100% green power through solar and wind, both of which are more cost effective to build than it is to operate existing coal facilities.  </w:t>
      </w:r>
      <w:r w:rsidR="00224CDC">
        <w:t xml:space="preserve">Moving toward clean, renewable energy will leverage massive public and private investment to push economic activity that will help to </w:t>
      </w:r>
      <w:r w:rsidR="00224CDC">
        <w:rPr>
          <w:b/>
          <w:bCs/>
        </w:rPr>
        <w:t xml:space="preserve">mitigate suffering from human-caused warming that disproportionately affects middle class, under-resourced communities and communities of color.  </w:t>
      </w:r>
      <w:r w:rsidR="00224CDC">
        <w:t xml:space="preserve">Solar installer and wind technician jobs are the fastest growing jobs in the country, at a </w:t>
      </w:r>
      <w:r w:rsidR="00224CDC">
        <w:rPr>
          <w:b/>
          <w:bCs/>
        </w:rPr>
        <w:t>rate of about 15 times faster than the economy as a whole.</w:t>
      </w:r>
      <w:r w:rsidR="00224CDC">
        <w:t xml:space="preserve">  In Minnesota, these jobs </w:t>
      </w:r>
      <w:r w:rsidR="00224CDC">
        <w:rPr>
          <w:b/>
          <w:bCs/>
        </w:rPr>
        <w:t xml:space="preserve">pay nearly 40% higher than the state median income, and are jobs that cannot be outsourced.  </w:t>
      </w:r>
      <w:r w:rsidR="00224CDC">
        <w:t xml:space="preserve">The Yale Program for Climate Change Communication recently found there is </w:t>
      </w:r>
      <w:r w:rsidR="00224CDC">
        <w:rPr>
          <w:b/>
          <w:bCs/>
        </w:rPr>
        <w:t xml:space="preserve">strong bipartisan support for policies requiring utilities to adopt 100% clean-energy standards by 2050, </w:t>
      </w:r>
      <w:r w:rsidR="00224CDC">
        <w:t xml:space="preserve">so ADD YOUR VOICE to those advocating for policies that address </w:t>
      </w:r>
      <w:r w:rsidR="00224CDC">
        <w:rPr>
          <w:b/>
          <w:bCs/>
        </w:rPr>
        <w:t>climate change and economic/social justice opportunities as the fundamentally intertwined challenges they really are. </w:t>
      </w:r>
    </w:p>
    <w:p w:rsidR="00101007" w:rsidRDefault="00101007" w:rsidP="00101007">
      <w:pPr>
        <w:spacing w:after="240"/>
      </w:pPr>
      <w:r>
        <w:t>2.  While Minnesota missed the target set in the state's 2007 Next Generation Energy Act to cut greenhouse gas emissions (15% by 2015) as well falling behind on meeting its next target (40% by 2025), the Governor's newly appointed</w:t>
      </w:r>
      <w:proofErr w:type="gramStart"/>
      <w:r>
        <w:t xml:space="preserve">  </w:t>
      </w:r>
      <w:r>
        <w:rPr>
          <w:b/>
          <w:bCs/>
        </w:rPr>
        <w:t>Advisory</w:t>
      </w:r>
      <w:proofErr w:type="gramEnd"/>
      <w:r>
        <w:rPr>
          <w:b/>
          <w:bCs/>
        </w:rPr>
        <w:t xml:space="preserve"> Council on Climate Change </w:t>
      </w:r>
      <w:r>
        <w:t xml:space="preserve">is tasked with redoubling efforts to hit its ultimate target of </w:t>
      </w:r>
      <w:r>
        <w:rPr>
          <w:b/>
          <w:bCs/>
        </w:rPr>
        <w:t xml:space="preserve">cutting emissions by 80% by 2050.  </w:t>
      </w:r>
      <w:r>
        <w:t xml:space="preserve">The 15-member citizen council will advise his new </w:t>
      </w:r>
      <w:r>
        <w:rPr>
          <w:b/>
          <w:bCs/>
        </w:rPr>
        <w:t xml:space="preserve">Climate Change Subcabinet </w:t>
      </w:r>
      <w:r>
        <w:t xml:space="preserve">headed by the </w:t>
      </w:r>
      <w:proofErr w:type="spellStart"/>
      <w:r>
        <w:t>MInnesota</w:t>
      </w:r>
      <w:proofErr w:type="spellEnd"/>
      <w:r>
        <w:t xml:space="preserve"> Pollution Control Agency (MPCA) Commissioner Laura Bishop, and is comprised of farmers, academics, utility executives, tribal officials and others.  Emissions from </w:t>
      </w:r>
      <w:r>
        <w:rPr>
          <w:b/>
          <w:bCs/>
        </w:rPr>
        <w:t xml:space="preserve">power plants and energy production in Minnesota </w:t>
      </w:r>
      <w:r>
        <w:t xml:space="preserve">have fallen, but emissions from </w:t>
      </w:r>
      <w:r>
        <w:rPr>
          <w:b/>
          <w:bCs/>
        </w:rPr>
        <w:t xml:space="preserve">agriculture and transportation, especially passenger vehicles, </w:t>
      </w:r>
      <w:r>
        <w:t xml:space="preserve">have not.  The MPCA plans to open a new period of public comments and hearings on its </w:t>
      </w:r>
      <w:r>
        <w:rPr>
          <w:b/>
          <w:bCs/>
        </w:rPr>
        <w:t>Clean Cars measure to require automakers to deliver more fuel-efficient vehicles for sale in Minnesota</w:t>
      </w:r>
      <w:r>
        <w:t xml:space="preserve"> that will include </w:t>
      </w:r>
      <w:r>
        <w:rPr>
          <w:b/>
          <w:bCs/>
        </w:rPr>
        <w:t xml:space="preserve">battery electric vehicles, plug-in hybrid electric vehicles and hydrogen-fueled vehicles.  </w:t>
      </w:r>
      <w:r>
        <w:t>With nearly a dozen other states already adopting such standards, and with the final rule expected to be adopted in 2021, LET ELECTED OFFICIALS know that you support these efforts.</w:t>
      </w:r>
    </w:p>
    <w:p w:rsidR="00101007" w:rsidRDefault="00101007" w:rsidP="00101007">
      <w:pPr>
        <w:spacing w:after="240"/>
        <w:rPr>
          <w:b/>
          <w:bCs/>
        </w:rPr>
      </w:pPr>
      <w:r>
        <w:t xml:space="preserve">3.  A new study published in </w:t>
      </w:r>
      <w:r>
        <w:rPr>
          <w:i/>
          <w:iCs/>
        </w:rPr>
        <w:t>Nature</w:t>
      </w:r>
      <w:r>
        <w:t xml:space="preserve"> identifies a road map for addressing the twin crises of </w:t>
      </w:r>
      <w:r>
        <w:rPr>
          <w:b/>
          <w:bCs/>
        </w:rPr>
        <w:t>climate change and biodiversity loss (as many as 1 million species are at risk of extinction)</w:t>
      </w:r>
      <w:r>
        <w:t xml:space="preserve"> by returning a strategic </w:t>
      </w:r>
      <w:r>
        <w:rPr>
          <w:b/>
          <w:bCs/>
        </w:rPr>
        <w:t xml:space="preserve">30% of the world's farmlands to nature.  </w:t>
      </w:r>
      <w:r>
        <w:t xml:space="preserve">Identifying the most strategic parts of the planet to protect would </w:t>
      </w:r>
      <w:r>
        <w:rPr>
          <w:b/>
          <w:bCs/>
        </w:rPr>
        <w:t xml:space="preserve">soak up almost half the carbon dioxide that has built up since the Industrial Revolution and prevent the predicted extinction on land of more than 70% of threatened plants and animals.  </w:t>
      </w:r>
      <w:r>
        <w:t xml:space="preserve">The authors estimate that </w:t>
      </w:r>
      <w:r>
        <w:rPr>
          <w:b/>
          <w:bCs/>
        </w:rPr>
        <w:t xml:space="preserve">55% of farmland on the global level </w:t>
      </w:r>
      <w:r>
        <w:t xml:space="preserve">could be returned to nature while maintaining current levels of food production by </w:t>
      </w:r>
      <w:r>
        <w:rPr>
          <w:b/>
          <w:bCs/>
        </w:rPr>
        <w:t xml:space="preserve">using existing agricultural land more effectively and sustainably.  </w:t>
      </w:r>
      <w:r>
        <w:t xml:space="preserve">The costs would be high, but the authors point out that the </w:t>
      </w:r>
      <w:r>
        <w:rPr>
          <w:b/>
          <w:bCs/>
        </w:rPr>
        <w:t xml:space="preserve">hundreds of billions of dollars per year subsidizing fossil fuels and unsustainable farming practices </w:t>
      </w:r>
      <w:r>
        <w:t xml:space="preserve">could be available instead to pay farmers to restore their land to nature and for other investments.  Other steps include: </w:t>
      </w:r>
      <w:r>
        <w:rPr>
          <w:b/>
          <w:bCs/>
        </w:rPr>
        <w:t xml:space="preserve">stopping the use of fossil fuels; reducing food, energy and plastic waste; and making sustainable choices when purchasing needed items.  </w:t>
      </w:r>
    </w:p>
    <w:p w:rsidR="00101007" w:rsidRDefault="00101007" w:rsidP="00101007">
      <w:pPr>
        <w:spacing w:after="240"/>
      </w:pPr>
      <w:bookmarkStart w:id="0" w:name="_GoBack"/>
      <w:bookmarkEnd w:id="0"/>
    </w:p>
    <w:p w:rsidR="00101007" w:rsidRDefault="00101007" w:rsidP="00101007">
      <w:pPr>
        <w:spacing w:after="240"/>
      </w:pPr>
      <w:r>
        <w:lastRenderedPageBreak/>
        <w:t xml:space="preserve">4.  The Minnesota Environmental Quality Board, via its Environmental Review Program, is revising and expanding its review process on approximately 100 projects a year in categories such as </w:t>
      </w:r>
      <w:r>
        <w:rPr>
          <w:b/>
          <w:bCs/>
        </w:rPr>
        <w:t xml:space="preserve">agriculture, transportation, and industrial and commercial development to integrate climate change impacts into those reviews.  </w:t>
      </w:r>
      <w:r>
        <w:t xml:space="preserve">If approved after public comment this spring, the expanded reviews would </w:t>
      </w:r>
      <w:r>
        <w:rPr>
          <w:b/>
          <w:bCs/>
        </w:rPr>
        <w:t xml:space="preserve">require an accounting for greenhouse gas emissions and details regarding how a proposed project would mitigate them.  </w:t>
      </w:r>
      <w:r>
        <w:t xml:space="preserve">This would apply to all new projects that require environmental review under state rules due to potential environmental risks.  Currently, environmental reviews consider such things as noise, but haven't considered climate change.  Since final changes are set to go to the board for approval in July with more public discussion to follow, ALERT YOUR POLICY-MAKERS to the importance of supporting the revisions.  </w:t>
      </w:r>
    </w:p>
    <w:p w:rsidR="00101007" w:rsidRDefault="00101007" w:rsidP="00101007">
      <w:r>
        <w:t xml:space="preserve">5.  The year 2020 was a record year for deforestation and fires in the Brazilian Amazon, combined with </w:t>
      </w:r>
      <w:r>
        <w:rPr>
          <w:b/>
          <w:bCs/>
        </w:rPr>
        <w:t xml:space="preserve">record conversion of forests to soybean production, </w:t>
      </w:r>
      <w:r>
        <w:t xml:space="preserve">making Brazil the </w:t>
      </w:r>
      <w:r>
        <w:rPr>
          <w:b/>
          <w:bCs/>
        </w:rPr>
        <w:t xml:space="preserve">world's No. 1 exporter of oilseed crushed to make animal feed and cooking oil.  </w:t>
      </w:r>
      <w:r>
        <w:t xml:space="preserve">Meanwhile, the Brazilian agency for Indigenous Affairs, together with international timber and meat markets, is seeking to accelerate deforestation in </w:t>
      </w:r>
      <w:r>
        <w:rPr>
          <w:b/>
          <w:bCs/>
        </w:rPr>
        <w:t xml:space="preserve">constitutionally-protected Indigenous Lands in the Amazon </w:t>
      </w:r>
      <w:r>
        <w:t xml:space="preserve">that has already been invaded by loggers and miners.   The area's forests and natural vegetation </w:t>
      </w:r>
      <w:r>
        <w:rPr>
          <w:b/>
          <w:bCs/>
        </w:rPr>
        <w:t xml:space="preserve">play a critical role in storing carbon dioxide, yet the forests' destruction is increasing CO2, warming the Earth's climate while contributing to sea level rise, severe storms and other problems.    </w:t>
      </w:r>
      <w:r>
        <w:t xml:space="preserve">Under threat as well is an abundance of </w:t>
      </w:r>
      <w:r>
        <w:rPr>
          <w:b/>
          <w:bCs/>
        </w:rPr>
        <w:t xml:space="preserve">wildlife and thousands of plants, fish, insects and other creatures found nowhere else on </w:t>
      </w:r>
      <w:proofErr w:type="gramStart"/>
      <w:r>
        <w:rPr>
          <w:b/>
          <w:bCs/>
        </w:rPr>
        <w:t>Earth.</w:t>
      </w:r>
      <w:proofErr w:type="gramEnd"/>
      <w:r>
        <w:rPr>
          <w:b/>
          <w:bCs/>
        </w:rPr>
        <w:t xml:space="preserve">   </w:t>
      </w:r>
      <w:r>
        <w:t xml:space="preserve">DEMAND THAT COMPANIES (Tesco, Walmart, Unilever, McDonald's, etc.) and their suppliers (Cargill, ADM Bunge Ltd, etc.) enforce their </w:t>
      </w:r>
      <w:r>
        <w:rPr>
          <w:b/>
          <w:bCs/>
        </w:rPr>
        <w:t xml:space="preserve">stated commitment of setting goals of eliminating deforestation from the supply chain by 2020.  </w:t>
      </w:r>
    </w:p>
    <w:p w:rsidR="00981ED0" w:rsidRDefault="00981ED0" w:rsidP="005413A2">
      <w:pPr>
        <w:spacing w:after="240"/>
      </w:pPr>
    </w:p>
    <w:sectPr w:rsidR="00981ED0" w:rsidSect="00CE3069">
      <w:pgSz w:w="12240" w:h="15840"/>
      <w:pgMar w:top="1440" w:right="1440" w:bottom="99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03440B"/>
    <w:multiLevelType w:val="hybridMultilevel"/>
    <w:tmpl w:val="5532FAA4"/>
    <w:lvl w:ilvl="0" w:tplc="042A1AB0">
      <w:start w:val="1"/>
      <w:numFmt w:val="decimal"/>
      <w:lvlText w:val="%1."/>
      <w:lvlJc w:val="left"/>
      <w:pPr>
        <w:ind w:left="720" w:hanging="36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D025DC7"/>
    <w:multiLevelType w:val="hybridMultilevel"/>
    <w:tmpl w:val="622ED8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4565952"/>
    <w:multiLevelType w:val="hybridMultilevel"/>
    <w:tmpl w:val="F976AE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DEA5241"/>
    <w:multiLevelType w:val="hybridMultilevel"/>
    <w:tmpl w:val="B8F081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FBE71D4"/>
    <w:multiLevelType w:val="hybridMultilevel"/>
    <w:tmpl w:val="E08AB1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04F203A"/>
    <w:multiLevelType w:val="hybridMultilevel"/>
    <w:tmpl w:val="D56653F2"/>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065061A"/>
    <w:multiLevelType w:val="hybridMultilevel"/>
    <w:tmpl w:val="A4BE8694"/>
    <w:lvl w:ilvl="0" w:tplc="F4AE615C">
      <w:start w:val="1"/>
      <w:numFmt w:val="decimal"/>
      <w:lvlText w:val="%1."/>
      <w:lvlJc w:val="left"/>
      <w:pPr>
        <w:ind w:left="720" w:hanging="36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2000804"/>
    <w:multiLevelType w:val="hybridMultilevel"/>
    <w:tmpl w:val="FA2624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3E300CA"/>
    <w:multiLevelType w:val="hybridMultilevel"/>
    <w:tmpl w:val="C03650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F8E73FA"/>
    <w:multiLevelType w:val="hybridMultilevel"/>
    <w:tmpl w:val="E3B092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C5A4D77"/>
    <w:multiLevelType w:val="hybridMultilevel"/>
    <w:tmpl w:val="65B0955C"/>
    <w:lvl w:ilvl="0" w:tplc="1160F924">
      <w:start w:val="1"/>
      <w:numFmt w:val="decimal"/>
      <w:lvlText w:val="%1."/>
      <w:lvlJc w:val="left"/>
      <w:pPr>
        <w:ind w:left="720" w:hanging="36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2"/>
  </w:num>
  <w:num w:numId="3">
    <w:abstractNumId w:val="1"/>
  </w:num>
  <w:num w:numId="4">
    <w:abstractNumId w:val="3"/>
  </w:num>
  <w:num w:numId="5">
    <w:abstractNumId w:val="7"/>
  </w:num>
  <w:num w:numId="6">
    <w:abstractNumId w:val="5"/>
  </w:num>
  <w:num w:numId="7">
    <w:abstractNumId w:val="8"/>
  </w:num>
  <w:num w:numId="8">
    <w:abstractNumId w:val="4"/>
  </w:num>
  <w:num w:numId="9">
    <w:abstractNumId w:val="0"/>
  </w:num>
  <w:num w:numId="10">
    <w:abstractNumId w:val="6"/>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5402"/>
    <w:rsid w:val="000621FA"/>
    <w:rsid w:val="0006758F"/>
    <w:rsid w:val="000C7EEB"/>
    <w:rsid w:val="000E1C8B"/>
    <w:rsid w:val="00101007"/>
    <w:rsid w:val="00104367"/>
    <w:rsid w:val="00207BE1"/>
    <w:rsid w:val="00224CDC"/>
    <w:rsid w:val="002819CD"/>
    <w:rsid w:val="003106B8"/>
    <w:rsid w:val="00315711"/>
    <w:rsid w:val="00341511"/>
    <w:rsid w:val="003E4CE6"/>
    <w:rsid w:val="004214D0"/>
    <w:rsid w:val="004962EE"/>
    <w:rsid w:val="004979D6"/>
    <w:rsid w:val="004B73D1"/>
    <w:rsid w:val="004D3698"/>
    <w:rsid w:val="00530244"/>
    <w:rsid w:val="005413A2"/>
    <w:rsid w:val="00555B04"/>
    <w:rsid w:val="00562200"/>
    <w:rsid w:val="00575FBB"/>
    <w:rsid w:val="005A2B76"/>
    <w:rsid w:val="0060659A"/>
    <w:rsid w:val="00620917"/>
    <w:rsid w:val="00624808"/>
    <w:rsid w:val="006B3287"/>
    <w:rsid w:val="006E0692"/>
    <w:rsid w:val="00706BE8"/>
    <w:rsid w:val="00727C80"/>
    <w:rsid w:val="00790EC5"/>
    <w:rsid w:val="007D5EA9"/>
    <w:rsid w:val="007D6529"/>
    <w:rsid w:val="00923A41"/>
    <w:rsid w:val="00981ED0"/>
    <w:rsid w:val="00A10912"/>
    <w:rsid w:val="00A11447"/>
    <w:rsid w:val="00A15ED0"/>
    <w:rsid w:val="00A25402"/>
    <w:rsid w:val="00A63488"/>
    <w:rsid w:val="00AB3944"/>
    <w:rsid w:val="00AC1AD3"/>
    <w:rsid w:val="00B069B3"/>
    <w:rsid w:val="00B144BC"/>
    <w:rsid w:val="00BA6C3D"/>
    <w:rsid w:val="00C042E8"/>
    <w:rsid w:val="00C83058"/>
    <w:rsid w:val="00CA3956"/>
    <w:rsid w:val="00CC4047"/>
    <w:rsid w:val="00CD007D"/>
    <w:rsid w:val="00CE3069"/>
    <w:rsid w:val="00D40DEB"/>
    <w:rsid w:val="00D5132B"/>
    <w:rsid w:val="00D80273"/>
    <w:rsid w:val="00DE44AC"/>
    <w:rsid w:val="00DE5D9D"/>
    <w:rsid w:val="00F907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5402"/>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25402"/>
    <w:rPr>
      <w:color w:val="0000FF"/>
      <w:u w:val="single"/>
    </w:rPr>
  </w:style>
  <w:style w:type="paragraph" w:styleId="ListParagraph">
    <w:name w:val="List Paragraph"/>
    <w:basedOn w:val="Normal"/>
    <w:uiPriority w:val="34"/>
    <w:qFormat/>
    <w:rsid w:val="0060659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5402"/>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25402"/>
    <w:rPr>
      <w:color w:val="0000FF"/>
      <w:u w:val="single"/>
    </w:rPr>
  </w:style>
  <w:style w:type="paragraph" w:styleId="ListParagraph">
    <w:name w:val="List Paragraph"/>
    <w:basedOn w:val="Normal"/>
    <w:uiPriority w:val="34"/>
    <w:qFormat/>
    <w:rsid w:val="006065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971030">
      <w:bodyDiv w:val="1"/>
      <w:marLeft w:val="0"/>
      <w:marRight w:val="0"/>
      <w:marTop w:val="0"/>
      <w:marBottom w:val="0"/>
      <w:divBdr>
        <w:top w:val="none" w:sz="0" w:space="0" w:color="auto"/>
        <w:left w:val="none" w:sz="0" w:space="0" w:color="auto"/>
        <w:bottom w:val="none" w:sz="0" w:space="0" w:color="auto"/>
        <w:right w:val="none" w:sz="0" w:space="0" w:color="auto"/>
      </w:divBdr>
    </w:div>
    <w:div w:id="174079284">
      <w:bodyDiv w:val="1"/>
      <w:marLeft w:val="0"/>
      <w:marRight w:val="0"/>
      <w:marTop w:val="0"/>
      <w:marBottom w:val="0"/>
      <w:divBdr>
        <w:top w:val="none" w:sz="0" w:space="0" w:color="auto"/>
        <w:left w:val="none" w:sz="0" w:space="0" w:color="auto"/>
        <w:bottom w:val="none" w:sz="0" w:space="0" w:color="auto"/>
        <w:right w:val="none" w:sz="0" w:space="0" w:color="auto"/>
      </w:divBdr>
    </w:div>
    <w:div w:id="181406377">
      <w:bodyDiv w:val="1"/>
      <w:marLeft w:val="0"/>
      <w:marRight w:val="0"/>
      <w:marTop w:val="0"/>
      <w:marBottom w:val="0"/>
      <w:divBdr>
        <w:top w:val="none" w:sz="0" w:space="0" w:color="auto"/>
        <w:left w:val="none" w:sz="0" w:space="0" w:color="auto"/>
        <w:bottom w:val="none" w:sz="0" w:space="0" w:color="auto"/>
        <w:right w:val="none" w:sz="0" w:space="0" w:color="auto"/>
      </w:divBdr>
    </w:div>
    <w:div w:id="183053844">
      <w:bodyDiv w:val="1"/>
      <w:marLeft w:val="0"/>
      <w:marRight w:val="0"/>
      <w:marTop w:val="0"/>
      <w:marBottom w:val="0"/>
      <w:divBdr>
        <w:top w:val="none" w:sz="0" w:space="0" w:color="auto"/>
        <w:left w:val="none" w:sz="0" w:space="0" w:color="auto"/>
        <w:bottom w:val="none" w:sz="0" w:space="0" w:color="auto"/>
        <w:right w:val="none" w:sz="0" w:space="0" w:color="auto"/>
      </w:divBdr>
    </w:div>
    <w:div w:id="304238894">
      <w:bodyDiv w:val="1"/>
      <w:marLeft w:val="0"/>
      <w:marRight w:val="0"/>
      <w:marTop w:val="0"/>
      <w:marBottom w:val="0"/>
      <w:divBdr>
        <w:top w:val="none" w:sz="0" w:space="0" w:color="auto"/>
        <w:left w:val="none" w:sz="0" w:space="0" w:color="auto"/>
        <w:bottom w:val="none" w:sz="0" w:space="0" w:color="auto"/>
        <w:right w:val="none" w:sz="0" w:space="0" w:color="auto"/>
      </w:divBdr>
    </w:div>
    <w:div w:id="518662411">
      <w:bodyDiv w:val="1"/>
      <w:marLeft w:val="0"/>
      <w:marRight w:val="0"/>
      <w:marTop w:val="0"/>
      <w:marBottom w:val="0"/>
      <w:divBdr>
        <w:top w:val="none" w:sz="0" w:space="0" w:color="auto"/>
        <w:left w:val="none" w:sz="0" w:space="0" w:color="auto"/>
        <w:bottom w:val="none" w:sz="0" w:space="0" w:color="auto"/>
        <w:right w:val="none" w:sz="0" w:space="0" w:color="auto"/>
      </w:divBdr>
    </w:div>
    <w:div w:id="751707996">
      <w:bodyDiv w:val="1"/>
      <w:marLeft w:val="0"/>
      <w:marRight w:val="0"/>
      <w:marTop w:val="0"/>
      <w:marBottom w:val="0"/>
      <w:divBdr>
        <w:top w:val="none" w:sz="0" w:space="0" w:color="auto"/>
        <w:left w:val="none" w:sz="0" w:space="0" w:color="auto"/>
        <w:bottom w:val="none" w:sz="0" w:space="0" w:color="auto"/>
        <w:right w:val="none" w:sz="0" w:space="0" w:color="auto"/>
      </w:divBdr>
    </w:div>
    <w:div w:id="760755011">
      <w:bodyDiv w:val="1"/>
      <w:marLeft w:val="0"/>
      <w:marRight w:val="0"/>
      <w:marTop w:val="0"/>
      <w:marBottom w:val="0"/>
      <w:divBdr>
        <w:top w:val="none" w:sz="0" w:space="0" w:color="auto"/>
        <w:left w:val="none" w:sz="0" w:space="0" w:color="auto"/>
        <w:bottom w:val="none" w:sz="0" w:space="0" w:color="auto"/>
        <w:right w:val="none" w:sz="0" w:space="0" w:color="auto"/>
      </w:divBdr>
    </w:div>
    <w:div w:id="775756660">
      <w:bodyDiv w:val="1"/>
      <w:marLeft w:val="0"/>
      <w:marRight w:val="0"/>
      <w:marTop w:val="0"/>
      <w:marBottom w:val="0"/>
      <w:divBdr>
        <w:top w:val="none" w:sz="0" w:space="0" w:color="auto"/>
        <w:left w:val="none" w:sz="0" w:space="0" w:color="auto"/>
        <w:bottom w:val="none" w:sz="0" w:space="0" w:color="auto"/>
        <w:right w:val="none" w:sz="0" w:space="0" w:color="auto"/>
      </w:divBdr>
    </w:div>
    <w:div w:id="790782336">
      <w:bodyDiv w:val="1"/>
      <w:marLeft w:val="0"/>
      <w:marRight w:val="0"/>
      <w:marTop w:val="0"/>
      <w:marBottom w:val="0"/>
      <w:divBdr>
        <w:top w:val="none" w:sz="0" w:space="0" w:color="auto"/>
        <w:left w:val="none" w:sz="0" w:space="0" w:color="auto"/>
        <w:bottom w:val="none" w:sz="0" w:space="0" w:color="auto"/>
        <w:right w:val="none" w:sz="0" w:space="0" w:color="auto"/>
      </w:divBdr>
    </w:div>
    <w:div w:id="920796181">
      <w:bodyDiv w:val="1"/>
      <w:marLeft w:val="0"/>
      <w:marRight w:val="0"/>
      <w:marTop w:val="0"/>
      <w:marBottom w:val="0"/>
      <w:divBdr>
        <w:top w:val="none" w:sz="0" w:space="0" w:color="auto"/>
        <w:left w:val="none" w:sz="0" w:space="0" w:color="auto"/>
        <w:bottom w:val="none" w:sz="0" w:space="0" w:color="auto"/>
        <w:right w:val="none" w:sz="0" w:space="0" w:color="auto"/>
      </w:divBdr>
    </w:div>
    <w:div w:id="934093827">
      <w:bodyDiv w:val="1"/>
      <w:marLeft w:val="0"/>
      <w:marRight w:val="0"/>
      <w:marTop w:val="0"/>
      <w:marBottom w:val="0"/>
      <w:divBdr>
        <w:top w:val="none" w:sz="0" w:space="0" w:color="auto"/>
        <w:left w:val="none" w:sz="0" w:space="0" w:color="auto"/>
        <w:bottom w:val="none" w:sz="0" w:space="0" w:color="auto"/>
        <w:right w:val="none" w:sz="0" w:space="0" w:color="auto"/>
      </w:divBdr>
    </w:div>
    <w:div w:id="937562119">
      <w:bodyDiv w:val="1"/>
      <w:marLeft w:val="0"/>
      <w:marRight w:val="0"/>
      <w:marTop w:val="0"/>
      <w:marBottom w:val="0"/>
      <w:divBdr>
        <w:top w:val="none" w:sz="0" w:space="0" w:color="auto"/>
        <w:left w:val="none" w:sz="0" w:space="0" w:color="auto"/>
        <w:bottom w:val="none" w:sz="0" w:space="0" w:color="auto"/>
        <w:right w:val="none" w:sz="0" w:space="0" w:color="auto"/>
      </w:divBdr>
    </w:div>
    <w:div w:id="977953348">
      <w:bodyDiv w:val="1"/>
      <w:marLeft w:val="0"/>
      <w:marRight w:val="0"/>
      <w:marTop w:val="0"/>
      <w:marBottom w:val="0"/>
      <w:divBdr>
        <w:top w:val="none" w:sz="0" w:space="0" w:color="auto"/>
        <w:left w:val="none" w:sz="0" w:space="0" w:color="auto"/>
        <w:bottom w:val="none" w:sz="0" w:space="0" w:color="auto"/>
        <w:right w:val="none" w:sz="0" w:space="0" w:color="auto"/>
      </w:divBdr>
    </w:div>
    <w:div w:id="1046563769">
      <w:bodyDiv w:val="1"/>
      <w:marLeft w:val="0"/>
      <w:marRight w:val="0"/>
      <w:marTop w:val="0"/>
      <w:marBottom w:val="0"/>
      <w:divBdr>
        <w:top w:val="none" w:sz="0" w:space="0" w:color="auto"/>
        <w:left w:val="none" w:sz="0" w:space="0" w:color="auto"/>
        <w:bottom w:val="none" w:sz="0" w:space="0" w:color="auto"/>
        <w:right w:val="none" w:sz="0" w:space="0" w:color="auto"/>
      </w:divBdr>
    </w:div>
    <w:div w:id="1065104091">
      <w:bodyDiv w:val="1"/>
      <w:marLeft w:val="0"/>
      <w:marRight w:val="0"/>
      <w:marTop w:val="0"/>
      <w:marBottom w:val="0"/>
      <w:divBdr>
        <w:top w:val="none" w:sz="0" w:space="0" w:color="auto"/>
        <w:left w:val="none" w:sz="0" w:space="0" w:color="auto"/>
        <w:bottom w:val="none" w:sz="0" w:space="0" w:color="auto"/>
        <w:right w:val="none" w:sz="0" w:space="0" w:color="auto"/>
      </w:divBdr>
    </w:div>
    <w:div w:id="1078673164">
      <w:bodyDiv w:val="1"/>
      <w:marLeft w:val="0"/>
      <w:marRight w:val="0"/>
      <w:marTop w:val="0"/>
      <w:marBottom w:val="0"/>
      <w:divBdr>
        <w:top w:val="none" w:sz="0" w:space="0" w:color="auto"/>
        <w:left w:val="none" w:sz="0" w:space="0" w:color="auto"/>
        <w:bottom w:val="none" w:sz="0" w:space="0" w:color="auto"/>
        <w:right w:val="none" w:sz="0" w:space="0" w:color="auto"/>
      </w:divBdr>
    </w:div>
    <w:div w:id="1079905987">
      <w:bodyDiv w:val="1"/>
      <w:marLeft w:val="0"/>
      <w:marRight w:val="0"/>
      <w:marTop w:val="0"/>
      <w:marBottom w:val="0"/>
      <w:divBdr>
        <w:top w:val="none" w:sz="0" w:space="0" w:color="auto"/>
        <w:left w:val="none" w:sz="0" w:space="0" w:color="auto"/>
        <w:bottom w:val="none" w:sz="0" w:space="0" w:color="auto"/>
        <w:right w:val="none" w:sz="0" w:space="0" w:color="auto"/>
      </w:divBdr>
    </w:div>
    <w:div w:id="1143694717">
      <w:bodyDiv w:val="1"/>
      <w:marLeft w:val="0"/>
      <w:marRight w:val="0"/>
      <w:marTop w:val="0"/>
      <w:marBottom w:val="0"/>
      <w:divBdr>
        <w:top w:val="none" w:sz="0" w:space="0" w:color="auto"/>
        <w:left w:val="none" w:sz="0" w:space="0" w:color="auto"/>
        <w:bottom w:val="none" w:sz="0" w:space="0" w:color="auto"/>
        <w:right w:val="none" w:sz="0" w:space="0" w:color="auto"/>
      </w:divBdr>
    </w:div>
    <w:div w:id="1199969060">
      <w:bodyDiv w:val="1"/>
      <w:marLeft w:val="0"/>
      <w:marRight w:val="0"/>
      <w:marTop w:val="0"/>
      <w:marBottom w:val="0"/>
      <w:divBdr>
        <w:top w:val="none" w:sz="0" w:space="0" w:color="auto"/>
        <w:left w:val="none" w:sz="0" w:space="0" w:color="auto"/>
        <w:bottom w:val="none" w:sz="0" w:space="0" w:color="auto"/>
        <w:right w:val="none" w:sz="0" w:space="0" w:color="auto"/>
      </w:divBdr>
    </w:div>
    <w:div w:id="1293828222">
      <w:bodyDiv w:val="1"/>
      <w:marLeft w:val="0"/>
      <w:marRight w:val="0"/>
      <w:marTop w:val="0"/>
      <w:marBottom w:val="0"/>
      <w:divBdr>
        <w:top w:val="none" w:sz="0" w:space="0" w:color="auto"/>
        <w:left w:val="none" w:sz="0" w:space="0" w:color="auto"/>
        <w:bottom w:val="none" w:sz="0" w:space="0" w:color="auto"/>
        <w:right w:val="none" w:sz="0" w:space="0" w:color="auto"/>
      </w:divBdr>
    </w:div>
    <w:div w:id="1335642048">
      <w:bodyDiv w:val="1"/>
      <w:marLeft w:val="0"/>
      <w:marRight w:val="0"/>
      <w:marTop w:val="0"/>
      <w:marBottom w:val="0"/>
      <w:divBdr>
        <w:top w:val="none" w:sz="0" w:space="0" w:color="auto"/>
        <w:left w:val="none" w:sz="0" w:space="0" w:color="auto"/>
        <w:bottom w:val="none" w:sz="0" w:space="0" w:color="auto"/>
        <w:right w:val="none" w:sz="0" w:space="0" w:color="auto"/>
      </w:divBdr>
    </w:div>
    <w:div w:id="1355618440">
      <w:bodyDiv w:val="1"/>
      <w:marLeft w:val="0"/>
      <w:marRight w:val="0"/>
      <w:marTop w:val="0"/>
      <w:marBottom w:val="0"/>
      <w:divBdr>
        <w:top w:val="none" w:sz="0" w:space="0" w:color="auto"/>
        <w:left w:val="none" w:sz="0" w:space="0" w:color="auto"/>
        <w:bottom w:val="none" w:sz="0" w:space="0" w:color="auto"/>
        <w:right w:val="none" w:sz="0" w:space="0" w:color="auto"/>
      </w:divBdr>
    </w:div>
    <w:div w:id="1419869213">
      <w:bodyDiv w:val="1"/>
      <w:marLeft w:val="0"/>
      <w:marRight w:val="0"/>
      <w:marTop w:val="0"/>
      <w:marBottom w:val="0"/>
      <w:divBdr>
        <w:top w:val="none" w:sz="0" w:space="0" w:color="auto"/>
        <w:left w:val="none" w:sz="0" w:space="0" w:color="auto"/>
        <w:bottom w:val="none" w:sz="0" w:space="0" w:color="auto"/>
        <w:right w:val="none" w:sz="0" w:space="0" w:color="auto"/>
      </w:divBdr>
    </w:div>
    <w:div w:id="1425759986">
      <w:bodyDiv w:val="1"/>
      <w:marLeft w:val="0"/>
      <w:marRight w:val="0"/>
      <w:marTop w:val="0"/>
      <w:marBottom w:val="0"/>
      <w:divBdr>
        <w:top w:val="none" w:sz="0" w:space="0" w:color="auto"/>
        <w:left w:val="none" w:sz="0" w:space="0" w:color="auto"/>
        <w:bottom w:val="none" w:sz="0" w:space="0" w:color="auto"/>
        <w:right w:val="none" w:sz="0" w:space="0" w:color="auto"/>
      </w:divBdr>
    </w:div>
    <w:div w:id="1512910297">
      <w:bodyDiv w:val="1"/>
      <w:marLeft w:val="0"/>
      <w:marRight w:val="0"/>
      <w:marTop w:val="0"/>
      <w:marBottom w:val="0"/>
      <w:divBdr>
        <w:top w:val="none" w:sz="0" w:space="0" w:color="auto"/>
        <w:left w:val="none" w:sz="0" w:space="0" w:color="auto"/>
        <w:bottom w:val="none" w:sz="0" w:space="0" w:color="auto"/>
        <w:right w:val="none" w:sz="0" w:space="0" w:color="auto"/>
      </w:divBdr>
    </w:div>
    <w:div w:id="1773696426">
      <w:bodyDiv w:val="1"/>
      <w:marLeft w:val="0"/>
      <w:marRight w:val="0"/>
      <w:marTop w:val="0"/>
      <w:marBottom w:val="0"/>
      <w:divBdr>
        <w:top w:val="none" w:sz="0" w:space="0" w:color="auto"/>
        <w:left w:val="none" w:sz="0" w:space="0" w:color="auto"/>
        <w:bottom w:val="none" w:sz="0" w:space="0" w:color="auto"/>
        <w:right w:val="none" w:sz="0" w:space="0" w:color="auto"/>
      </w:divBdr>
    </w:div>
    <w:div w:id="2143649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856</Words>
  <Characters>4881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5726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LCC Office</dc:creator>
  <cp:lastModifiedBy>LCC Office</cp:lastModifiedBy>
  <cp:revision>4</cp:revision>
  <cp:lastPrinted>2020-04-30T12:20:00Z</cp:lastPrinted>
  <dcterms:created xsi:type="dcterms:W3CDTF">2020-12-30T13:38:00Z</dcterms:created>
  <dcterms:modified xsi:type="dcterms:W3CDTF">2020-12-30T21:46:00Z</dcterms:modified>
</cp:coreProperties>
</file>