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EE1AA" w14:textId="74B22BA3" w:rsidR="00C33303" w:rsidRDefault="00C33303" w:rsidP="00C33303">
      <w:pPr>
        <w:shd w:val="clear" w:color="auto" w:fill="FFFFFF"/>
        <w:jc w:val="center"/>
        <w:rPr>
          <w:rFonts w:eastAsia="Times New Roman" w:cstheme="minorHAnsi"/>
          <w:color w:val="000000"/>
          <w:kern w:val="0"/>
          <w:sz w:val="24"/>
          <w:szCs w:val="24"/>
          <w14:ligatures w14:val="none"/>
        </w:rPr>
      </w:pPr>
      <w:r w:rsidRPr="00E643F7">
        <w:rPr>
          <w:noProof/>
        </w:rPr>
        <w:drawing>
          <wp:inline distT="0" distB="0" distL="0" distR="0" wp14:anchorId="3E83F430" wp14:editId="1484C38F">
            <wp:extent cx="2334910" cy="822960"/>
            <wp:effectExtent l="0" t="0" r="8255" b="0"/>
            <wp:docPr id="562746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5669" cy="823228"/>
                    </a:xfrm>
                    <a:prstGeom prst="rect">
                      <a:avLst/>
                    </a:prstGeom>
                    <a:noFill/>
                    <a:ln>
                      <a:noFill/>
                    </a:ln>
                  </pic:spPr>
                </pic:pic>
              </a:graphicData>
            </a:graphic>
          </wp:inline>
        </w:drawing>
      </w:r>
    </w:p>
    <w:p w14:paraId="3940C625" w14:textId="77777777" w:rsidR="00C33303" w:rsidRDefault="00C33303" w:rsidP="00C33303">
      <w:pPr>
        <w:shd w:val="clear" w:color="auto" w:fill="FFFFFF"/>
        <w:rPr>
          <w:rFonts w:eastAsia="Times New Roman" w:cstheme="minorHAnsi"/>
          <w:color w:val="000000"/>
          <w:kern w:val="0"/>
          <w:sz w:val="24"/>
          <w:szCs w:val="24"/>
          <w14:ligatures w14:val="none"/>
        </w:rPr>
      </w:pPr>
    </w:p>
    <w:p w14:paraId="2BD0A2B3" w14:textId="77777777" w:rsidR="00C33303" w:rsidRDefault="00C33303" w:rsidP="00C33303">
      <w:pPr>
        <w:shd w:val="clear" w:color="auto" w:fill="FFFFFF"/>
        <w:rPr>
          <w:rFonts w:eastAsia="Times New Roman" w:cstheme="minorHAnsi"/>
          <w:color w:val="000000"/>
          <w:kern w:val="0"/>
          <w:sz w:val="24"/>
          <w:szCs w:val="24"/>
          <w14:ligatures w14:val="none"/>
        </w:rPr>
      </w:pPr>
    </w:p>
    <w:p w14:paraId="6C49197D" w14:textId="04FE535C" w:rsidR="00C33303" w:rsidRPr="00C33303" w:rsidRDefault="00C33303" w:rsidP="00C33303">
      <w:pPr>
        <w:shd w:val="clear" w:color="auto" w:fill="FFFFFF"/>
        <w:rPr>
          <w:rFonts w:eastAsia="Times New Roman" w:cstheme="minorHAnsi"/>
          <w:color w:val="222222"/>
          <w:kern w:val="0"/>
          <w:sz w:val="24"/>
          <w:szCs w:val="24"/>
          <w14:ligatures w14:val="none"/>
        </w:rPr>
      </w:pPr>
      <w:r w:rsidRPr="00C33303">
        <w:rPr>
          <w:rFonts w:eastAsia="Times New Roman" w:cstheme="minorHAnsi"/>
          <w:color w:val="000000"/>
          <w:kern w:val="0"/>
          <w:sz w:val="24"/>
          <w:szCs w:val="24"/>
          <w14:ligatures w14:val="none"/>
        </w:rPr>
        <w:t>Dear Board Members,</w:t>
      </w:r>
      <w:r w:rsidRPr="00C33303">
        <w:rPr>
          <w:rFonts w:eastAsia="Times New Roman" w:cstheme="minorHAnsi"/>
          <w:color w:val="000000"/>
          <w:kern w:val="0"/>
          <w:sz w:val="24"/>
          <w:szCs w:val="24"/>
          <w14:ligatures w14:val="none"/>
        </w:rPr>
        <w:br/>
      </w:r>
      <w:r w:rsidRPr="00C33303">
        <w:rPr>
          <w:rFonts w:eastAsia="Times New Roman" w:cstheme="minorHAnsi"/>
          <w:color w:val="000000"/>
          <w:kern w:val="0"/>
          <w:sz w:val="24"/>
          <w:szCs w:val="24"/>
          <w14:ligatures w14:val="none"/>
        </w:rPr>
        <w:br/>
        <w:t>On December 3, 2024, the U.S. District Court for the Eastern District of Texas granted a nationwide preliminary injunction that halts the enforcement of the Corporate Transparency Act (CTA). This ruling suspends the requirement for businesses, including community associations, to file beneficial ownership information (BOI) with the U.S. Department of Treasury's Financial Crimes Enforcement Network (FinCEN) by January 1, 2025.</w:t>
      </w:r>
      <w:r w:rsidRPr="00C33303">
        <w:rPr>
          <w:rFonts w:eastAsia="Times New Roman" w:cstheme="minorHAnsi"/>
          <w:color w:val="000000"/>
          <w:kern w:val="0"/>
          <w:sz w:val="24"/>
          <w:szCs w:val="24"/>
          <w14:ligatures w14:val="none"/>
        </w:rPr>
        <w:br/>
      </w:r>
      <w:r w:rsidRPr="00C33303">
        <w:rPr>
          <w:rFonts w:eastAsia="Times New Roman" w:cstheme="minorHAnsi"/>
          <w:color w:val="000000"/>
          <w:kern w:val="0"/>
          <w:sz w:val="24"/>
          <w:szCs w:val="24"/>
          <w14:ligatures w14:val="none"/>
        </w:rPr>
        <w:br/>
        <w:t>The court's decision is based on its determination that the CTA is likely unconstitutional. The government has 30 days to appeal this decision, and further judicial proceedings may result in changes to this suspension. Many anticipate the matter will ultimately be decided by the Supreme Court.</w:t>
      </w:r>
      <w:r w:rsidRPr="00C33303">
        <w:rPr>
          <w:rFonts w:eastAsia="Times New Roman" w:cstheme="minorHAnsi"/>
          <w:color w:val="000000"/>
          <w:kern w:val="0"/>
          <w:sz w:val="24"/>
          <w:szCs w:val="24"/>
          <w14:ligatures w14:val="none"/>
        </w:rPr>
        <w:br/>
      </w:r>
      <w:r w:rsidRPr="00C33303">
        <w:rPr>
          <w:rFonts w:eastAsia="Times New Roman" w:cstheme="minorHAnsi"/>
          <w:color w:val="000000"/>
          <w:kern w:val="0"/>
          <w:sz w:val="24"/>
          <w:szCs w:val="24"/>
          <w14:ligatures w14:val="none"/>
        </w:rPr>
        <w:br/>
        <w:t>Impact on Associations and Board Members:</w:t>
      </w:r>
      <w:r w:rsidRPr="00C33303">
        <w:rPr>
          <w:rFonts w:eastAsia="Times New Roman" w:cstheme="minorHAnsi"/>
          <w:color w:val="000000"/>
          <w:kern w:val="0"/>
          <w:sz w:val="24"/>
          <w:szCs w:val="24"/>
          <w14:ligatures w14:val="none"/>
        </w:rPr>
        <w:br/>
        <w:t>• Associations that have not yet filed BOI reports are not required to do so at this time. We are prepared to assist if the injunction is lifted.</w:t>
      </w:r>
      <w:r w:rsidRPr="00C33303">
        <w:rPr>
          <w:rFonts w:eastAsia="Times New Roman" w:cstheme="minorHAnsi"/>
          <w:color w:val="000000"/>
          <w:kern w:val="0"/>
          <w:sz w:val="24"/>
          <w:szCs w:val="24"/>
          <w14:ligatures w14:val="none"/>
        </w:rPr>
        <w:br/>
        <w:t>• For those who have already filed, this proactive step ensures compliance if the injunction is overturned.</w:t>
      </w:r>
      <w:r w:rsidRPr="00C33303">
        <w:rPr>
          <w:rFonts w:eastAsia="Times New Roman" w:cstheme="minorHAnsi"/>
          <w:color w:val="000000"/>
          <w:kern w:val="0"/>
          <w:sz w:val="24"/>
          <w:szCs w:val="24"/>
          <w14:ligatures w14:val="none"/>
        </w:rPr>
        <w:br/>
        <w:t>• Associations may continue to prepare their BOI reports as a precaution but can hold off filing unless we are otherwise directed by the Board.</w:t>
      </w:r>
      <w:r w:rsidRPr="00C33303">
        <w:rPr>
          <w:rFonts w:eastAsia="Times New Roman" w:cstheme="minorHAnsi"/>
          <w:color w:val="000000"/>
          <w:kern w:val="0"/>
          <w:sz w:val="24"/>
          <w:szCs w:val="24"/>
          <w14:ligatures w14:val="none"/>
        </w:rPr>
        <w:br/>
        <w:t>• For associations that have previously approved us to assist with BOI filings, please let your managers know if you approve for us to proceed.</w:t>
      </w:r>
      <w:r w:rsidRPr="00C33303">
        <w:rPr>
          <w:rFonts w:eastAsia="Times New Roman" w:cstheme="minorHAnsi"/>
          <w:color w:val="000000"/>
          <w:kern w:val="0"/>
          <w:sz w:val="24"/>
          <w:szCs w:val="24"/>
          <w14:ligatures w14:val="none"/>
        </w:rPr>
        <w:br/>
      </w:r>
      <w:r w:rsidRPr="00C33303">
        <w:rPr>
          <w:rFonts w:eastAsia="Times New Roman" w:cstheme="minorHAnsi"/>
          <w:color w:val="000000"/>
          <w:kern w:val="0"/>
          <w:sz w:val="24"/>
          <w:szCs w:val="24"/>
          <w14:ligatures w14:val="none"/>
        </w:rPr>
        <w:br/>
        <w:t xml:space="preserve">We will continue to monitor this evolving situation and provide updates as new developments arise. Should the injunction be overturned or the compliance deadline reinstated, we are prepared to </w:t>
      </w:r>
      <w:proofErr w:type="gramStart"/>
      <w:r w:rsidRPr="00C33303">
        <w:rPr>
          <w:rFonts w:eastAsia="Times New Roman" w:cstheme="minorHAnsi"/>
          <w:color w:val="000000"/>
          <w:kern w:val="0"/>
          <w:sz w:val="24"/>
          <w:szCs w:val="24"/>
          <w14:ligatures w14:val="none"/>
        </w:rPr>
        <w:t>take action</w:t>
      </w:r>
      <w:proofErr w:type="gramEnd"/>
      <w:r w:rsidRPr="00C33303">
        <w:rPr>
          <w:rFonts w:eastAsia="Times New Roman" w:cstheme="minorHAnsi"/>
          <w:color w:val="000000"/>
          <w:kern w:val="0"/>
          <w:sz w:val="24"/>
          <w:szCs w:val="24"/>
          <w14:ligatures w14:val="none"/>
        </w:rPr>
        <w:t xml:space="preserve"> and ensure compliance requirements are met.</w:t>
      </w:r>
      <w:r w:rsidRPr="00C33303">
        <w:rPr>
          <w:rFonts w:eastAsia="Times New Roman" w:cstheme="minorHAnsi"/>
          <w:color w:val="000000"/>
          <w:kern w:val="0"/>
          <w:sz w:val="24"/>
          <w:szCs w:val="24"/>
          <w14:ligatures w14:val="none"/>
        </w:rPr>
        <w:br/>
      </w:r>
      <w:r w:rsidRPr="00C33303">
        <w:rPr>
          <w:rFonts w:eastAsia="Times New Roman" w:cstheme="minorHAnsi"/>
          <w:color w:val="000000"/>
          <w:kern w:val="0"/>
          <w:sz w:val="24"/>
          <w:szCs w:val="24"/>
          <w14:ligatures w14:val="none"/>
        </w:rPr>
        <w:br/>
        <w:t>Please reach out to your manager with any questions or if you wish for us to proceed with filing on behalf of the Association.</w:t>
      </w:r>
    </w:p>
    <w:p w14:paraId="4B63CC6B" w14:textId="77777777" w:rsidR="00C33303" w:rsidRPr="00C33303" w:rsidRDefault="00C33303" w:rsidP="00C33303">
      <w:pPr>
        <w:shd w:val="clear" w:color="auto" w:fill="FFFFFF"/>
        <w:rPr>
          <w:rFonts w:eastAsia="Times New Roman" w:cstheme="minorHAnsi"/>
          <w:color w:val="222222"/>
          <w:kern w:val="0"/>
          <w:sz w:val="24"/>
          <w:szCs w:val="24"/>
          <w14:ligatures w14:val="none"/>
        </w:rPr>
      </w:pPr>
    </w:p>
    <w:p w14:paraId="2D85E427" w14:textId="057EA075" w:rsidR="00BE14BB" w:rsidRDefault="00C33303" w:rsidP="00C33303">
      <w:pPr>
        <w:shd w:val="clear" w:color="auto" w:fill="FFFFFF"/>
        <w:rPr>
          <w:rFonts w:eastAsia="Times New Roman" w:cstheme="minorHAnsi"/>
          <w:color w:val="222222"/>
          <w:kern w:val="0"/>
          <w:sz w:val="24"/>
          <w:szCs w:val="24"/>
          <w14:ligatures w14:val="none"/>
        </w:rPr>
      </w:pPr>
      <w:r w:rsidRPr="00C33303">
        <w:rPr>
          <w:rFonts w:eastAsia="Times New Roman" w:cstheme="minorHAnsi"/>
          <w:color w:val="222222"/>
          <w:kern w:val="0"/>
          <w:sz w:val="24"/>
          <w:szCs w:val="24"/>
          <w14:ligatures w14:val="none"/>
        </w:rPr>
        <w:t>Thank</w:t>
      </w:r>
      <w:r>
        <w:rPr>
          <w:rFonts w:eastAsia="Times New Roman" w:cstheme="minorHAnsi"/>
          <w:color w:val="222222"/>
          <w:kern w:val="0"/>
          <w:sz w:val="24"/>
          <w:szCs w:val="24"/>
          <w14:ligatures w14:val="none"/>
        </w:rPr>
        <w:t>s,</w:t>
      </w:r>
    </w:p>
    <w:p w14:paraId="1C6A95A7" w14:textId="77777777" w:rsidR="00C33303" w:rsidRDefault="00C33303" w:rsidP="00C33303">
      <w:pPr>
        <w:shd w:val="clear" w:color="auto" w:fill="FFFFFF"/>
        <w:rPr>
          <w:rFonts w:eastAsia="Times New Roman" w:cstheme="minorHAnsi"/>
          <w:color w:val="222222"/>
          <w:kern w:val="0"/>
          <w:sz w:val="24"/>
          <w:szCs w:val="24"/>
          <w14:ligatures w14:val="none"/>
        </w:rPr>
      </w:pPr>
    </w:p>
    <w:p w14:paraId="526064B0" w14:textId="77777777" w:rsidR="00C33303" w:rsidRDefault="00C33303" w:rsidP="00C33303">
      <w:pPr>
        <w:shd w:val="clear" w:color="auto" w:fill="FFFFFF"/>
        <w:rPr>
          <w:rFonts w:eastAsia="Times New Roman" w:cstheme="minorHAnsi"/>
          <w:color w:val="222222"/>
          <w:kern w:val="0"/>
          <w:sz w:val="24"/>
          <w:szCs w:val="24"/>
          <w14:ligatures w14:val="none"/>
        </w:rPr>
      </w:pPr>
    </w:p>
    <w:p w14:paraId="61BA3D1F" w14:textId="7C5134B8" w:rsidR="00C33303" w:rsidRDefault="00C33303" w:rsidP="00C33303">
      <w:pPr>
        <w:shd w:val="clear" w:color="auto" w:fill="FFFFFF"/>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 xml:space="preserve">David </w:t>
      </w:r>
      <w:proofErr w:type="spellStart"/>
      <w:r>
        <w:rPr>
          <w:rFonts w:eastAsia="Times New Roman" w:cstheme="minorHAnsi"/>
          <w:color w:val="222222"/>
          <w:kern w:val="0"/>
          <w:sz w:val="24"/>
          <w:szCs w:val="24"/>
          <w14:ligatures w14:val="none"/>
        </w:rPr>
        <w:t>Mayemura</w:t>
      </w:r>
      <w:proofErr w:type="spellEnd"/>
      <w:r>
        <w:rPr>
          <w:rFonts w:eastAsia="Times New Roman" w:cstheme="minorHAnsi"/>
          <w:color w:val="222222"/>
          <w:kern w:val="0"/>
          <w:sz w:val="24"/>
          <w:szCs w:val="24"/>
          <w14:ligatures w14:val="none"/>
        </w:rPr>
        <w:t>, CMCA</w:t>
      </w:r>
    </w:p>
    <w:p w14:paraId="6C0671CA" w14:textId="113A1556" w:rsidR="00C33303" w:rsidRPr="00C33303" w:rsidRDefault="00C33303" w:rsidP="00C33303">
      <w:pPr>
        <w:shd w:val="clear" w:color="auto" w:fill="FFFFFF"/>
        <w:rPr>
          <w:rFonts w:eastAsia="Times New Roman" w:cstheme="minorHAnsi"/>
          <w:color w:val="222222"/>
          <w:kern w:val="0"/>
          <w:sz w:val="24"/>
          <w:szCs w:val="24"/>
          <w14:ligatures w14:val="none"/>
        </w:rPr>
      </w:pPr>
      <w:r>
        <w:rPr>
          <w:rFonts w:eastAsia="Times New Roman" w:cstheme="minorHAnsi"/>
          <w:color w:val="222222"/>
          <w:kern w:val="0"/>
          <w:sz w:val="24"/>
          <w:szCs w:val="24"/>
          <w14:ligatures w14:val="none"/>
        </w:rPr>
        <w:t>President</w:t>
      </w:r>
    </w:p>
    <w:sectPr w:rsidR="00C33303" w:rsidRPr="00C33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03"/>
    <w:rsid w:val="00BE14BB"/>
    <w:rsid w:val="00C33303"/>
    <w:rsid w:val="00C6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5A62"/>
  <w15:chartTrackingRefBased/>
  <w15:docId w15:val="{396B3BEB-5524-489A-854B-30724353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550382">
      <w:bodyDiv w:val="1"/>
      <w:marLeft w:val="0"/>
      <w:marRight w:val="0"/>
      <w:marTop w:val="0"/>
      <w:marBottom w:val="0"/>
      <w:divBdr>
        <w:top w:val="none" w:sz="0" w:space="0" w:color="auto"/>
        <w:left w:val="none" w:sz="0" w:space="0" w:color="auto"/>
        <w:bottom w:val="none" w:sz="0" w:space="0" w:color="auto"/>
        <w:right w:val="none" w:sz="0" w:space="0" w:color="auto"/>
      </w:divBdr>
      <w:divsChild>
        <w:div w:id="1375275530">
          <w:marLeft w:val="0"/>
          <w:marRight w:val="0"/>
          <w:marTop w:val="0"/>
          <w:marBottom w:val="0"/>
          <w:divBdr>
            <w:top w:val="none" w:sz="0" w:space="0" w:color="auto"/>
            <w:left w:val="none" w:sz="0" w:space="0" w:color="auto"/>
            <w:bottom w:val="none" w:sz="0" w:space="0" w:color="auto"/>
            <w:right w:val="none" w:sz="0" w:space="0" w:color="auto"/>
          </w:divBdr>
        </w:div>
        <w:div w:id="807286608">
          <w:marLeft w:val="0"/>
          <w:marRight w:val="0"/>
          <w:marTop w:val="0"/>
          <w:marBottom w:val="0"/>
          <w:divBdr>
            <w:top w:val="none" w:sz="0" w:space="0" w:color="auto"/>
            <w:left w:val="none" w:sz="0" w:space="0" w:color="auto"/>
            <w:bottom w:val="none" w:sz="0" w:space="0" w:color="auto"/>
            <w:right w:val="none" w:sz="0" w:space="0" w:color="auto"/>
          </w:divBdr>
        </w:div>
        <w:div w:id="249854238">
          <w:marLeft w:val="0"/>
          <w:marRight w:val="0"/>
          <w:marTop w:val="0"/>
          <w:marBottom w:val="0"/>
          <w:divBdr>
            <w:top w:val="none" w:sz="0" w:space="0" w:color="auto"/>
            <w:left w:val="none" w:sz="0" w:space="0" w:color="auto"/>
            <w:bottom w:val="none" w:sz="0" w:space="0" w:color="auto"/>
            <w:right w:val="none" w:sz="0" w:space="0" w:color="auto"/>
          </w:divBdr>
          <w:divsChild>
            <w:div w:id="859587325">
              <w:marLeft w:val="0"/>
              <w:marRight w:val="0"/>
              <w:marTop w:val="0"/>
              <w:marBottom w:val="0"/>
              <w:divBdr>
                <w:top w:val="none" w:sz="0" w:space="0" w:color="auto"/>
                <w:left w:val="none" w:sz="0" w:space="0" w:color="auto"/>
                <w:bottom w:val="none" w:sz="0" w:space="0" w:color="auto"/>
                <w:right w:val="none" w:sz="0" w:space="0" w:color="auto"/>
              </w:divBdr>
              <w:divsChild>
                <w:div w:id="2234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Baron</dc:creator>
  <cp:keywords/>
  <dc:description/>
  <cp:lastModifiedBy>Candice Baron</cp:lastModifiedBy>
  <cp:revision>1</cp:revision>
  <dcterms:created xsi:type="dcterms:W3CDTF">2024-12-06T22:58:00Z</dcterms:created>
  <dcterms:modified xsi:type="dcterms:W3CDTF">2024-12-06T23:04:00Z</dcterms:modified>
</cp:coreProperties>
</file>