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CF39" w14:textId="77777777" w:rsidR="00344E5C" w:rsidRDefault="00344E5C" w:rsidP="00C76357">
      <w:pPr>
        <w:pStyle w:val="PlainText"/>
        <w:jc w:val="center"/>
      </w:pPr>
      <w:r>
        <w:rPr>
          <w:b/>
          <w:bCs/>
          <w:sz w:val="28"/>
          <w:szCs w:val="28"/>
        </w:rPr>
        <w:t>Department of Sustainable Energy Engineering, Indian Institute of Technology Kanpur, India</w:t>
      </w:r>
    </w:p>
    <w:p w14:paraId="7DD8A6AE" w14:textId="6D180A1E" w:rsidR="00344E5C" w:rsidRDefault="00344E5C" w:rsidP="00344E5C">
      <w:pPr>
        <w:pStyle w:val="PlainText"/>
        <w:jc w:val="both"/>
      </w:pPr>
    </w:p>
    <w:p w14:paraId="7B7F4D67" w14:textId="77777777" w:rsidR="00344E5C" w:rsidRDefault="00344E5C" w:rsidP="00344E5C">
      <w:pPr>
        <w:pStyle w:val="PlainText"/>
        <w:jc w:val="both"/>
      </w:pPr>
      <w:r>
        <w:t>Applications are invited from Indian and foreign nationals for full-time positions of Associate Professor and Assistant Professor to carry out teaching and research in new, renewable, clean, alternative, and futuristic energy technologies.</w:t>
      </w:r>
    </w:p>
    <w:p w14:paraId="5DC973B5" w14:textId="16A90456" w:rsidR="00344E5C" w:rsidRDefault="00344E5C" w:rsidP="00344E5C">
      <w:pPr>
        <w:pStyle w:val="PlainText"/>
        <w:jc w:val="both"/>
      </w:pPr>
    </w:p>
    <w:p w14:paraId="1468DA5F" w14:textId="77777777" w:rsidR="00344E5C" w:rsidRDefault="00344E5C" w:rsidP="00344E5C">
      <w:pPr>
        <w:pStyle w:val="PlainText"/>
        <w:jc w:val="both"/>
      </w:pPr>
      <w:r>
        <w:rPr>
          <w:b/>
          <w:bCs/>
        </w:rPr>
        <w:t>Department’s priority areas</w:t>
      </w:r>
    </w:p>
    <w:p w14:paraId="158E2C68" w14:textId="77777777" w:rsidR="00344E5C" w:rsidRDefault="00344E5C" w:rsidP="00344E5C">
      <w:pPr>
        <w:pStyle w:val="PlainText"/>
        <w:numPr>
          <w:ilvl w:val="0"/>
          <w:numId w:val="1"/>
        </w:numPr>
        <w:jc w:val="both"/>
        <w:rPr>
          <w:rFonts w:eastAsia="Times New Roman"/>
        </w:rPr>
      </w:pPr>
      <w:r>
        <w:rPr>
          <w:rStyle w:val="jsgrdq"/>
          <w:rFonts w:eastAsia="Times New Roman"/>
        </w:rPr>
        <w:t>Generation: next generation solar photovoltaics, fuel-cells, hydrogen energy</w:t>
      </w:r>
    </w:p>
    <w:p w14:paraId="0A4A469C" w14:textId="77777777" w:rsidR="00344E5C" w:rsidRDefault="00344E5C" w:rsidP="00344E5C">
      <w:pPr>
        <w:pStyle w:val="PlainText"/>
        <w:numPr>
          <w:ilvl w:val="0"/>
          <w:numId w:val="1"/>
        </w:numPr>
        <w:jc w:val="both"/>
        <w:rPr>
          <w:rFonts w:eastAsia="Times New Roman"/>
        </w:rPr>
      </w:pPr>
      <w:r>
        <w:rPr>
          <w:rStyle w:val="jsgrdq"/>
          <w:rFonts w:eastAsia="Times New Roman"/>
        </w:rPr>
        <w:t>Storage: batteries and supercapacitors, hydrogen storage for next-gen mobility, CO</w:t>
      </w:r>
      <w:r>
        <w:rPr>
          <w:rStyle w:val="jsgrdq"/>
          <w:rFonts w:eastAsia="Times New Roman"/>
          <w:vertAlign w:val="subscript"/>
        </w:rPr>
        <w:t>2</w:t>
      </w:r>
      <w:r>
        <w:rPr>
          <w:rStyle w:val="jsgrdq"/>
          <w:rFonts w:eastAsia="Times New Roman"/>
        </w:rPr>
        <w:t xml:space="preserve"> sequestration</w:t>
      </w:r>
    </w:p>
    <w:p w14:paraId="5E838452" w14:textId="77777777" w:rsidR="00344E5C" w:rsidRDefault="00344E5C" w:rsidP="00344E5C">
      <w:pPr>
        <w:pStyle w:val="PlainText"/>
        <w:numPr>
          <w:ilvl w:val="0"/>
          <w:numId w:val="1"/>
        </w:numPr>
        <w:jc w:val="both"/>
        <w:rPr>
          <w:rFonts w:eastAsia="Times New Roman"/>
        </w:rPr>
      </w:pPr>
      <w:r>
        <w:rPr>
          <w:rStyle w:val="jsgrdq"/>
          <w:rFonts w:eastAsia="Times New Roman"/>
        </w:rPr>
        <w:t>Transmission and efficiency: Smart grid and grid integration, electric vehicles, EV charging, power distribution and transmission, control systems</w:t>
      </w:r>
    </w:p>
    <w:p w14:paraId="767819B9" w14:textId="77777777" w:rsidR="00344E5C" w:rsidRDefault="00344E5C" w:rsidP="00344E5C">
      <w:pPr>
        <w:pStyle w:val="PlainText"/>
        <w:numPr>
          <w:ilvl w:val="0"/>
          <w:numId w:val="1"/>
        </w:numPr>
        <w:jc w:val="both"/>
        <w:rPr>
          <w:rFonts w:eastAsia="Times New Roman"/>
        </w:rPr>
      </w:pPr>
      <w:r>
        <w:rPr>
          <w:rStyle w:val="jsgrdq"/>
          <w:rFonts w:eastAsia="Times New Roman"/>
        </w:rPr>
        <w:t>Alternative fuels: clean fuels, hydrogen, CO</w:t>
      </w:r>
      <w:r>
        <w:rPr>
          <w:rStyle w:val="jsgrdq"/>
          <w:rFonts w:eastAsia="Times New Roman"/>
          <w:vertAlign w:val="subscript"/>
        </w:rPr>
        <w:t>2</w:t>
      </w:r>
      <w:r>
        <w:rPr>
          <w:rStyle w:val="jsgrdq"/>
          <w:rFonts w:eastAsia="Times New Roman"/>
        </w:rPr>
        <w:t xml:space="preserve"> to fuels, waste to energy</w:t>
      </w:r>
    </w:p>
    <w:p w14:paraId="787FC989" w14:textId="77777777" w:rsidR="00344E5C" w:rsidRDefault="00344E5C" w:rsidP="00344E5C">
      <w:pPr>
        <w:pStyle w:val="PlainText"/>
        <w:numPr>
          <w:ilvl w:val="0"/>
          <w:numId w:val="1"/>
        </w:numPr>
        <w:jc w:val="both"/>
        <w:rPr>
          <w:rFonts w:eastAsia="Times New Roman"/>
        </w:rPr>
      </w:pPr>
      <w:r>
        <w:rPr>
          <w:rStyle w:val="jsgrdq"/>
          <w:rFonts w:eastAsia="Times New Roman"/>
        </w:rPr>
        <w:t>Energy and the built-environment: energy efficiency, sustainability, resilience and climate adaptability, net-zero and smart buildings</w:t>
      </w:r>
    </w:p>
    <w:p w14:paraId="59638C5F" w14:textId="77777777" w:rsidR="00344E5C" w:rsidRDefault="00344E5C" w:rsidP="00344E5C">
      <w:pPr>
        <w:pStyle w:val="PlainText"/>
        <w:numPr>
          <w:ilvl w:val="0"/>
          <w:numId w:val="1"/>
        </w:numPr>
        <w:jc w:val="both"/>
        <w:rPr>
          <w:rFonts w:eastAsia="Times New Roman"/>
        </w:rPr>
      </w:pPr>
      <w:r>
        <w:rPr>
          <w:rStyle w:val="jsgrdq"/>
          <w:rFonts w:eastAsia="Times New Roman"/>
        </w:rPr>
        <w:t>Energy policy, energy economics, circular economy, climate policy, energy and climate modelling and studies</w:t>
      </w:r>
    </w:p>
    <w:p w14:paraId="5B0CFF3D" w14:textId="77777777" w:rsidR="00344E5C" w:rsidRDefault="00344E5C" w:rsidP="00344E5C">
      <w:pPr>
        <w:pStyle w:val="PlainText"/>
        <w:jc w:val="both"/>
      </w:pPr>
      <w:r>
        <w:t> </w:t>
      </w:r>
    </w:p>
    <w:p w14:paraId="0C606CBC" w14:textId="18988D32" w:rsidR="00344E5C" w:rsidRDefault="00344E5C" w:rsidP="00344E5C">
      <w:pPr>
        <w:pStyle w:val="PlainText"/>
        <w:jc w:val="both"/>
      </w:pPr>
      <w:r>
        <w:rPr>
          <w:b/>
          <w:bCs/>
        </w:rPr>
        <w:t>Academic programmes</w:t>
      </w:r>
      <w:r>
        <w:t>: We currently offer Masters’ and Ph.D. programs in Sustainable Energy Engineering, and will soon start a Bachelors’ program.</w:t>
      </w:r>
    </w:p>
    <w:p w14:paraId="2F6D7EDF" w14:textId="77777777" w:rsidR="00344E5C" w:rsidRDefault="00344E5C" w:rsidP="00344E5C">
      <w:pPr>
        <w:pStyle w:val="PlainText"/>
        <w:jc w:val="both"/>
      </w:pPr>
    </w:p>
    <w:p w14:paraId="6A382A3B" w14:textId="77777777" w:rsidR="00344E5C" w:rsidRDefault="00344E5C" w:rsidP="00344E5C">
      <w:pPr>
        <w:pStyle w:val="PlainText"/>
        <w:jc w:val="both"/>
      </w:pPr>
      <w:r>
        <w:rPr>
          <w:b/>
          <w:bCs/>
        </w:rPr>
        <w:t>Facilities and support</w:t>
      </w:r>
      <w:r>
        <w:t xml:space="preserve">: </w:t>
      </w:r>
    </w:p>
    <w:p w14:paraId="07B913A5" w14:textId="77777777" w:rsidR="00344E5C" w:rsidRDefault="00344E5C" w:rsidP="00344E5C">
      <w:pPr>
        <w:pStyle w:val="PlainText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Extensive laboratory facilities with advanced state-of-the-art equipment. </w:t>
      </w:r>
    </w:p>
    <w:p w14:paraId="62335E3B" w14:textId="77777777" w:rsidR="00344E5C" w:rsidRDefault="00344E5C" w:rsidP="00344E5C">
      <w:pPr>
        <w:pStyle w:val="PlainText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Generous start-up package for initiating research, a relocation allowance, and a top-up salary of 25,000 per month (for the first three years) to all new faculty members.</w:t>
      </w:r>
    </w:p>
    <w:p w14:paraId="67B2ED99" w14:textId="77777777" w:rsidR="00344E5C" w:rsidRDefault="00344E5C" w:rsidP="00344E5C">
      <w:pPr>
        <w:pStyle w:val="PlainText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Lush green campus with excellent flora and fauna. On-campus facilities include house maintenance support, primary healthcare, schools up to 12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standard, children’s day-care, extensive sports facilities, an Olympic size swimming pool, banks, ATMs, a post office, wireless internet throughout the campus, cafes, restaurants, and a shopping complex to meet daily needs.</w:t>
      </w:r>
    </w:p>
    <w:p w14:paraId="56520390" w14:textId="77777777" w:rsidR="00344E5C" w:rsidRDefault="00344E5C" w:rsidP="00344E5C">
      <w:pPr>
        <w:pStyle w:val="PlainText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The campus is located on GT Road and is easily accessible from Lucknow (90 km, ~2 hr) and Kanpur airports (30 km) as well as Kanpur railway station (20 km).</w:t>
      </w:r>
    </w:p>
    <w:p w14:paraId="235F8441" w14:textId="4E49078D" w:rsidR="00344E5C" w:rsidRDefault="00344E5C" w:rsidP="00344E5C">
      <w:pPr>
        <w:pStyle w:val="PlainText"/>
        <w:jc w:val="both"/>
      </w:pPr>
    </w:p>
    <w:p w14:paraId="22617C65" w14:textId="77777777" w:rsidR="00344E5C" w:rsidRDefault="00344E5C" w:rsidP="00344E5C">
      <w:pPr>
        <w:pStyle w:val="PlainText"/>
        <w:jc w:val="both"/>
      </w:pPr>
      <w:r>
        <w:rPr>
          <w:b/>
          <w:bCs/>
        </w:rPr>
        <w:t>Eligibility criteria</w:t>
      </w:r>
      <w:r>
        <w:t>: The applicants must have a proven research record in the above areas, supported by high-quality research publications and patents. The applicant must possess a doctoral degree from a reputed university or institute with an undergraduate degree in an appropriate area of engineering or sciences with mathematics desirable as a subject at the undergraduate level. Other degrees may be considered for excellent applicants working in energy policy and economics.</w:t>
      </w:r>
    </w:p>
    <w:p w14:paraId="10EDECCF" w14:textId="62B3805E" w:rsidR="00344E5C" w:rsidRDefault="00344E5C" w:rsidP="00344E5C">
      <w:pPr>
        <w:pStyle w:val="PlainText"/>
        <w:jc w:val="both"/>
      </w:pPr>
    </w:p>
    <w:p w14:paraId="12A28AEF" w14:textId="77777777" w:rsidR="00344E5C" w:rsidRDefault="00344E5C" w:rsidP="00344E5C">
      <w:pPr>
        <w:pStyle w:val="PlainText"/>
        <w:jc w:val="both"/>
      </w:pPr>
      <w:r>
        <w:rPr>
          <w:b/>
          <w:bCs/>
        </w:rPr>
        <w:t>Minimum qualifications (for all faculty positions)</w:t>
      </w:r>
      <w:r>
        <w:t>: Ph.D. with first class or equivalent (in terms of grades) at the preceding degree in the appropriate branch.</w:t>
      </w:r>
    </w:p>
    <w:p w14:paraId="00B89C1D" w14:textId="77777777" w:rsidR="00344E5C" w:rsidRDefault="00344E5C" w:rsidP="00344E5C">
      <w:pPr>
        <w:pStyle w:val="PlainText"/>
        <w:jc w:val="both"/>
      </w:pPr>
      <w:r>
        <w:t>In addition, for:</w:t>
      </w:r>
    </w:p>
    <w:p w14:paraId="4549BB3C" w14:textId="77777777" w:rsidR="00344E5C" w:rsidRDefault="00344E5C" w:rsidP="00344E5C">
      <w:pPr>
        <w:pStyle w:val="PlainText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Associate professor: 6 years of teaching/research/industrial experience, of which at least three years should be at the level of Assistant Professor or equivalent.</w:t>
      </w:r>
    </w:p>
    <w:p w14:paraId="38A0B734" w14:textId="77777777" w:rsidR="00344E5C" w:rsidRDefault="00344E5C" w:rsidP="00344E5C">
      <w:pPr>
        <w:pStyle w:val="PlainText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Assistant professor: For a fresh Ph.D., the position will be on a contract-basis for the first three years, and will be regularized afterward. Regular appointments can be made for those with three or more years of teaching/research/industrial experience.</w:t>
      </w:r>
    </w:p>
    <w:p w14:paraId="08A112FF" w14:textId="1B506F51" w:rsidR="00344E5C" w:rsidRDefault="00344E5C" w:rsidP="00344E5C">
      <w:pPr>
        <w:jc w:val="both"/>
      </w:pPr>
    </w:p>
    <w:p w14:paraId="70BBA96C" w14:textId="788C9D1C" w:rsidR="00CC54B7" w:rsidRDefault="00344E5C" w:rsidP="00344E5C">
      <w:pPr>
        <w:jc w:val="both"/>
      </w:pPr>
      <w:r>
        <w:t xml:space="preserve">For more information, please visit the department website at: </w:t>
      </w:r>
      <w:hyperlink r:id="rId5" w:history="1">
        <w:r>
          <w:rPr>
            <w:rStyle w:val="Hyperlink"/>
          </w:rPr>
          <w:t>https://www.iitk.ac.in/see</w:t>
        </w:r>
      </w:hyperlink>
      <w:r>
        <w:t xml:space="preserve">. Apply online at: </w:t>
      </w:r>
      <w:hyperlink r:id="rId6" w:history="1">
        <w:r>
          <w:rPr>
            <w:rStyle w:val="Hyperlink"/>
          </w:rPr>
          <w:t>http://www.iitk.ac.in/dofa</w:t>
        </w:r>
      </w:hyperlink>
    </w:p>
    <w:sectPr w:rsidR="00CC5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06AD"/>
    <w:multiLevelType w:val="hybridMultilevel"/>
    <w:tmpl w:val="907212EC"/>
    <w:lvl w:ilvl="0" w:tplc="731C7A1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82DE7"/>
    <w:multiLevelType w:val="hybridMultilevel"/>
    <w:tmpl w:val="BDE0EE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CA0294"/>
    <w:multiLevelType w:val="hybridMultilevel"/>
    <w:tmpl w:val="6C5A1D20"/>
    <w:lvl w:ilvl="0" w:tplc="731C7A1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10063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292430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202923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NjI0szQ2BTLMzZV0lIJTi4sz8/NACgxrASHsq8QsAAAA"/>
  </w:docVars>
  <w:rsids>
    <w:rsidRoot w:val="005E703D"/>
    <w:rsid w:val="00344E5C"/>
    <w:rsid w:val="005E703D"/>
    <w:rsid w:val="00C76357"/>
    <w:rsid w:val="00CC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607E"/>
  <w15:chartTrackingRefBased/>
  <w15:docId w15:val="{E2EDF138-3C8A-49CA-8929-9809F9AA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5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4E5C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44E5C"/>
  </w:style>
  <w:style w:type="character" w:customStyle="1" w:styleId="PlainTextChar">
    <w:name w:val="Plain Text Char"/>
    <w:basedOn w:val="DefaultParagraphFont"/>
    <w:link w:val="PlainText"/>
    <w:uiPriority w:val="99"/>
    <w:rsid w:val="00344E5C"/>
    <w:rPr>
      <w:rFonts w:ascii="Calibri" w:hAnsi="Calibri" w:cs="Calibri"/>
    </w:rPr>
  </w:style>
  <w:style w:type="character" w:customStyle="1" w:styleId="jsgrdq">
    <w:name w:val="jsgrdq"/>
    <w:basedOn w:val="DefaultParagraphFont"/>
    <w:rsid w:val="0034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tk.ac.in/dofa" TargetMode="External"/><Relationship Id="rId5" Type="http://schemas.openxmlformats.org/officeDocument/2006/relationships/hyperlink" Target="https://www.iitk.ac.in/s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Company>Indian Institute of Technology Kanpur, Kanpur, U.P.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Aakash C Rai</dc:creator>
  <cp:keywords/>
  <dc:description/>
  <cp:lastModifiedBy>Aakash C Rai</cp:lastModifiedBy>
  <cp:revision>3</cp:revision>
  <dcterms:created xsi:type="dcterms:W3CDTF">2022-10-26T04:29:00Z</dcterms:created>
  <dcterms:modified xsi:type="dcterms:W3CDTF">2022-10-26T04:30:00Z</dcterms:modified>
</cp:coreProperties>
</file>