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61" w:rsidRPr="00C065C2" w:rsidRDefault="004E46E7" w:rsidP="00166B61">
      <w:pPr>
        <w:pStyle w:val="NormalWeb"/>
        <w:shd w:val="clear" w:color="auto" w:fill="FFFFFF"/>
        <w:spacing w:before="0" w:beforeAutospacing="0" w:after="0" w:afterAutospacing="0" w:line="372" w:lineRule="atLeast"/>
        <w:jc w:val="center"/>
        <w:rPr>
          <w:rFonts w:asciiTheme="minorHAnsi" w:hAnsiTheme="minorHAnsi"/>
          <w:b/>
          <w:color w:val="333333"/>
          <w:sz w:val="27"/>
          <w:szCs w:val="27"/>
        </w:rPr>
      </w:pPr>
      <w:r w:rsidRPr="00C065C2">
        <w:rPr>
          <w:rFonts w:asciiTheme="minorHAnsi" w:hAnsiTheme="minorHAnsi"/>
          <w:b/>
          <w:color w:val="333333"/>
          <w:sz w:val="27"/>
          <w:szCs w:val="27"/>
        </w:rPr>
        <w:t>Supreme Cou</w:t>
      </w:r>
      <w:r w:rsidR="00166B61" w:rsidRPr="00C065C2">
        <w:rPr>
          <w:rFonts w:asciiTheme="minorHAnsi" w:hAnsiTheme="minorHAnsi"/>
          <w:b/>
          <w:color w:val="333333"/>
          <w:sz w:val="27"/>
          <w:szCs w:val="27"/>
        </w:rPr>
        <w:t xml:space="preserve">rt to Rule on Level of Benefit that </w:t>
      </w:r>
    </w:p>
    <w:p w:rsidR="004E46E7" w:rsidRDefault="00166B61" w:rsidP="00166B61">
      <w:pPr>
        <w:pStyle w:val="NormalWeb"/>
        <w:shd w:val="clear" w:color="auto" w:fill="FFFFFF"/>
        <w:spacing w:before="0" w:beforeAutospacing="0" w:after="0" w:afterAutospacing="0" w:line="372" w:lineRule="atLeast"/>
        <w:jc w:val="center"/>
        <w:rPr>
          <w:rFonts w:asciiTheme="minorHAnsi" w:hAnsiTheme="minorHAnsi"/>
          <w:b/>
          <w:color w:val="333333"/>
          <w:sz w:val="27"/>
          <w:szCs w:val="27"/>
          <w:u w:val="single"/>
        </w:rPr>
      </w:pPr>
      <w:r w:rsidRPr="00C065C2">
        <w:rPr>
          <w:rFonts w:asciiTheme="minorHAnsi" w:hAnsiTheme="minorHAnsi"/>
          <w:b/>
          <w:color w:val="333333"/>
          <w:sz w:val="27"/>
          <w:szCs w:val="27"/>
          <w:u w:val="single"/>
        </w:rPr>
        <w:t xml:space="preserve">Special Education must </w:t>
      </w:r>
      <w:r w:rsidR="00E614DF" w:rsidRPr="00C065C2">
        <w:rPr>
          <w:rFonts w:asciiTheme="minorHAnsi" w:hAnsiTheme="minorHAnsi"/>
          <w:b/>
          <w:color w:val="333333"/>
          <w:sz w:val="27"/>
          <w:szCs w:val="27"/>
          <w:u w:val="single"/>
        </w:rPr>
        <w:t>provide</w:t>
      </w:r>
      <w:r w:rsidRPr="00C065C2">
        <w:rPr>
          <w:rFonts w:asciiTheme="minorHAnsi" w:hAnsiTheme="minorHAnsi"/>
          <w:b/>
          <w:color w:val="333333"/>
          <w:sz w:val="27"/>
          <w:szCs w:val="27"/>
          <w:u w:val="single"/>
        </w:rPr>
        <w:t xml:space="preserve"> </w:t>
      </w:r>
      <w:r w:rsidR="00E614DF" w:rsidRPr="00C065C2">
        <w:rPr>
          <w:rFonts w:asciiTheme="minorHAnsi" w:hAnsiTheme="minorHAnsi"/>
          <w:b/>
          <w:color w:val="333333"/>
          <w:sz w:val="27"/>
          <w:szCs w:val="27"/>
          <w:u w:val="single"/>
        </w:rPr>
        <w:t>under</w:t>
      </w:r>
      <w:r w:rsidRPr="00C065C2">
        <w:rPr>
          <w:rFonts w:asciiTheme="minorHAnsi" w:hAnsiTheme="minorHAnsi"/>
          <w:b/>
          <w:color w:val="333333"/>
          <w:sz w:val="27"/>
          <w:szCs w:val="27"/>
          <w:u w:val="single"/>
        </w:rPr>
        <w:t xml:space="preserve"> the IDEA</w:t>
      </w:r>
    </w:p>
    <w:p w:rsidR="00C26607" w:rsidRPr="00C065C2" w:rsidRDefault="00C26607" w:rsidP="00166B61">
      <w:pPr>
        <w:pStyle w:val="NormalWeb"/>
        <w:shd w:val="clear" w:color="auto" w:fill="FFFFFF"/>
        <w:spacing w:before="0" w:beforeAutospacing="0" w:after="0" w:afterAutospacing="0" w:line="372" w:lineRule="atLeast"/>
        <w:jc w:val="center"/>
        <w:rPr>
          <w:rFonts w:asciiTheme="minorHAnsi" w:hAnsiTheme="minorHAnsi"/>
          <w:b/>
          <w:color w:val="333333"/>
          <w:sz w:val="27"/>
          <w:szCs w:val="27"/>
          <w:u w:val="single"/>
        </w:rPr>
      </w:pPr>
    </w:p>
    <w:p w:rsidR="00166B61" w:rsidRPr="00166B61" w:rsidRDefault="00166B61" w:rsidP="004E46E7">
      <w:pPr>
        <w:pStyle w:val="NormalWeb"/>
        <w:shd w:val="clear" w:color="auto" w:fill="FFFFFF"/>
        <w:spacing w:before="0" w:beforeAutospacing="0" w:after="375" w:afterAutospacing="0" w:line="372" w:lineRule="atLeast"/>
        <w:rPr>
          <w:rFonts w:asciiTheme="minorHAnsi" w:hAnsiTheme="minorHAnsi"/>
          <w:color w:val="333333"/>
          <w:sz w:val="27"/>
          <w:szCs w:val="27"/>
        </w:rPr>
      </w:pPr>
      <w:r w:rsidRPr="00166B61">
        <w:rPr>
          <w:rFonts w:asciiTheme="minorHAnsi" w:hAnsiTheme="minorHAnsi"/>
          <w:color w:val="333333"/>
          <w:sz w:val="27"/>
          <w:szCs w:val="27"/>
        </w:rPr>
        <w:t>As parents and caregivers of children with special needs, we should all be aware that the U.S. Sup</w:t>
      </w:r>
      <w:r w:rsidR="0010012E">
        <w:rPr>
          <w:rFonts w:asciiTheme="minorHAnsi" w:hAnsiTheme="minorHAnsi"/>
          <w:color w:val="333333"/>
          <w:sz w:val="27"/>
          <w:szCs w:val="27"/>
        </w:rPr>
        <w:t>reme Court</w:t>
      </w:r>
      <w:r>
        <w:rPr>
          <w:rFonts w:asciiTheme="minorHAnsi" w:hAnsiTheme="minorHAnsi"/>
          <w:color w:val="333333"/>
          <w:sz w:val="27"/>
          <w:szCs w:val="27"/>
        </w:rPr>
        <w:t xml:space="preserve"> agreed to grant review in a special education </w:t>
      </w:r>
      <w:r w:rsidRPr="00166B61">
        <w:rPr>
          <w:rFonts w:asciiTheme="minorHAnsi" w:hAnsiTheme="minorHAnsi"/>
          <w:color w:val="333333"/>
          <w:sz w:val="27"/>
          <w:szCs w:val="27"/>
        </w:rPr>
        <w:t>case</w:t>
      </w:r>
      <w:r>
        <w:rPr>
          <w:rFonts w:asciiTheme="minorHAnsi" w:hAnsiTheme="minorHAnsi"/>
          <w:color w:val="333333"/>
          <w:sz w:val="27"/>
          <w:szCs w:val="27"/>
        </w:rPr>
        <w:t>.  This case (</w:t>
      </w:r>
      <w:r w:rsidRPr="00166B61">
        <w:rPr>
          <w:rFonts w:asciiTheme="minorHAnsi" w:hAnsiTheme="minorHAnsi"/>
          <w:color w:val="333333"/>
          <w:sz w:val="27"/>
          <w:szCs w:val="27"/>
          <w:u w:val="single"/>
        </w:rPr>
        <w:t>Endrew F. v. Douglas County School District R</w:t>
      </w:r>
      <w:r w:rsidR="00C065C2">
        <w:rPr>
          <w:rFonts w:asciiTheme="minorHAnsi" w:hAnsiTheme="minorHAnsi"/>
          <w:color w:val="333333"/>
          <w:sz w:val="27"/>
          <w:szCs w:val="27"/>
          <w:u w:val="single"/>
        </w:rPr>
        <w:t>E</w:t>
      </w:r>
      <w:r w:rsidRPr="00166B61">
        <w:rPr>
          <w:rFonts w:asciiTheme="minorHAnsi" w:hAnsiTheme="minorHAnsi"/>
          <w:color w:val="333333"/>
          <w:sz w:val="27"/>
          <w:szCs w:val="27"/>
          <w:u w:val="single"/>
        </w:rPr>
        <w:t>-1</w:t>
      </w:r>
      <w:r>
        <w:rPr>
          <w:rFonts w:asciiTheme="minorHAnsi" w:hAnsiTheme="minorHAnsi"/>
          <w:color w:val="333333"/>
          <w:sz w:val="27"/>
          <w:szCs w:val="27"/>
        </w:rPr>
        <w:t>) will require the Court to decide</w:t>
      </w:r>
      <w:r w:rsidRPr="00166B61">
        <w:rPr>
          <w:rFonts w:asciiTheme="minorHAnsi" w:hAnsiTheme="minorHAnsi"/>
          <w:color w:val="333333"/>
          <w:sz w:val="27"/>
          <w:szCs w:val="27"/>
        </w:rPr>
        <w:t xml:space="preserve"> how much educational benefit must </w:t>
      </w:r>
      <w:r w:rsidR="0010012E">
        <w:rPr>
          <w:rFonts w:asciiTheme="minorHAnsi" w:hAnsiTheme="minorHAnsi"/>
          <w:color w:val="333333"/>
          <w:sz w:val="27"/>
          <w:szCs w:val="27"/>
        </w:rPr>
        <w:t xml:space="preserve">be </w:t>
      </w:r>
      <w:r w:rsidRPr="00166B61">
        <w:rPr>
          <w:rFonts w:asciiTheme="minorHAnsi" w:hAnsiTheme="minorHAnsi"/>
          <w:color w:val="333333"/>
          <w:sz w:val="27"/>
          <w:szCs w:val="27"/>
        </w:rPr>
        <w:t>provide</w:t>
      </w:r>
      <w:r w:rsidR="0010012E">
        <w:rPr>
          <w:rFonts w:asciiTheme="minorHAnsi" w:hAnsiTheme="minorHAnsi"/>
          <w:color w:val="333333"/>
          <w:sz w:val="27"/>
          <w:szCs w:val="27"/>
        </w:rPr>
        <w:t>d</w:t>
      </w:r>
      <w:r w:rsidRPr="00166B61">
        <w:rPr>
          <w:rFonts w:asciiTheme="minorHAnsi" w:hAnsiTheme="minorHAnsi"/>
          <w:color w:val="333333"/>
          <w:sz w:val="27"/>
          <w:szCs w:val="27"/>
        </w:rPr>
        <w:t xml:space="preserve"> </w:t>
      </w:r>
      <w:r>
        <w:rPr>
          <w:rFonts w:asciiTheme="minorHAnsi" w:hAnsiTheme="minorHAnsi"/>
          <w:color w:val="333333"/>
          <w:sz w:val="27"/>
          <w:szCs w:val="27"/>
        </w:rPr>
        <w:t xml:space="preserve">to </w:t>
      </w:r>
      <w:r w:rsidRPr="00166B61">
        <w:rPr>
          <w:rFonts w:asciiTheme="minorHAnsi" w:hAnsiTheme="minorHAnsi"/>
          <w:color w:val="333333"/>
          <w:sz w:val="27"/>
          <w:szCs w:val="27"/>
        </w:rPr>
        <w:t xml:space="preserve">students who receive services under the Individuals </w:t>
      </w:r>
      <w:r>
        <w:rPr>
          <w:rFonts w:asciiTheme="minorHAnsi" w:hAnsiTheme="minorHAnsi"/>
          <w:color w:val="333333"/>
          <w:sz w:val="27"/>
          <w:szCs w:val="27"/>
        </w:rPr>
        <w:t xml:space="preserve">with Disabilities Education Act (“IDEA”).  </w:t>
      </w:r>
    </w:p>
    <w:p w:rsidR="00166B61" w:rsidRDefault="007925DB" w:rsidP="004E46E7">
      <w:pPr>
        <w:pStyle w:val="NormalWeb"/>
        <w:shd w:val="clear" w:color="auto" w:fill="FFFFFF"/>
        <w:spacing w:before="0" w:beforeAutospacing="0" w:after="375" w:afterAutospacing="0" w:line="372" w:lineRule="atLeast"/>
        <w:rPr>
          <w:rFonts w:asciiTheme="minorHAnsi" w:hAnsiTheme="minorHAnsi"/>
          <w:color w:val="333333"/>
          <w:sz w:val="27"/>
          <w:szCs w:val="27"/>
        </w:rPr>
      </w:pPr>
      <w:r>
        <w:rPr>
          <w:rFonts w:asciiTheme="minorHAnsi" w:hAnsiTheme="minorHAnsi"/>
          <w:color w:val="333333"/>
          <w:sz w:val="27"/>
          <w:szCs w:val="27"/>
        </w:rPr>
        <w:t xml:space="preserve">Under the I.D.E.A., the school district is obliged to confer a “free appropriate public education” </w:t>
      </w:r>
      <w:r w:rsidR="0010012E">
        <w:rPr>
          <w:rFonts w:asciiTheme="minorHAnsi" w:hAnsiTheme="minorHAnsi"/>
          <w:color w:val="333333"/>
          <w:sz w:val="27"/>
          <w:szCs w:val="27"/>
        </w:rPr>
        <w:t xml:space="preserve">(“FAPE”) </w:t>
      </w:r>
      <w:r>
        <w:rPr>
          <w:rFonts w:asciiTheme="minorHAnsi" w:hAnsiTheme="minorHAnsi"/>
          <w:color w:val="333333"/>
          <w:sz w:val="27"/>
          <w:szCs w:val="27"/>
        </w:rPr>
        <w:t xml:space="preserve">upon children with disabilities.  </w:t>
      </w:r>
      <w:r w:rsidR="00C07151">
        <w:rPr>
          <w:rFonts w:asciiTheme="minorHAnsi" w:hAnsiTheme="minorHAnsi"/>
          <w:color w:val="333333"/>
          <w:sz w:val="27"/>
          <w:szCs w:val="27"/>
        </w:rPr>
        <w:t>In 1982, The Supreme Court held that the education that a child with a disability receives must confer “some educational benefit” and the benefit must provide each child with “access” to an education that is “meaningful.”  (</w:t>
      </w:r>
      <w:r w:rsidR="00C07151" w:rsidRPr="00C07151">
        <w:rPr>
          <w:rFonts w:asciiTheme="minorHAnsi" w:hAnsiTheme="minorHAnsi"/>
          <w:color w:val="333333"/>
          <w:sz w:val="27"/>
          <w:szCs w:val="27"/>
          <w:u w:val="single"/>
        </w:rPr>
        <w:t>Board of Education of the Hendrick Hudson Central School District v. Rowley</w:t>
      </w:r>
      <w:r w:rsidR="00C07151">
        <w:rPr>
          <w:rFonts w:asciiTheme="minorHAnsi" w:hAnsiTheme="minorHAnsi"/>
          <w:color w:val="333333"/>
          <w:sz w:val="27"/>
          <w:szCs w:val="27"/>
          <w:u w:val="single"/>
        </w:rPr>
        <w:t xml:space="preserve"> (“Rowley”)</w:t>
      </w:r>
      <w:r w:rsidR="00C07151">
        <w:rPr>
          <w:rFonts w:asciiTheme="minorHAnsi" w:hAnsiTheme="minorHAnsi"/>
          <w:color w:val="333333"/>
          <w:sz w:val="27"/>
          <w:szCs w:val="27"/>
        </w:rPr>
        <w:t xml:space="preserve">).  </w:t>
      </w:r>
      <w:r>
        <w:rPr>
          <w:rFonts w:asciiTheme="minorHAnsi" w:hAnsiTheme="minorHAnsi"/>
          <w:color w:val="333333"/>
          <w:sz w:val="27"/>
          <w:szCs w:val="27"/>
        </w:rPr>
        <w:t>Th</w:t>
      </w:r>
      <w:r w:rsidR="00C07151">
        <w:rPr>
          <w:rFonts w:asciiTheme="minorHAnsi" w:hAnsiTheme="minorHAnsi"/>
          <w:color w:val="333333"/>
          <w:sz w:val="27"/>
          <w:szCs w:val="27"/>
        </w:rPr>
        <w:t>e Court is now</w:t>
      </w:r>
      <w:r w:rsidR="00C065C2">
        <w:rPr>
          <w:rFonts w:asciiTheme="minorHAnsi" w:hAnsiTheme="minorHAnsi"/>
          <w:color w:val="333333"/>
          <w:sz w:val="27"/>
          <w:szCs w:val="27"/>
        </w:rPr>
        <w:t xml:space="preserve"> being called upon to clarify what</w:t>
      </w:r>
      <w:r w:rsidR="00C07151">
        <w:rPr>
          <w:rFonts w:asciiTheme="minorHAnsi" w:hAnsiTheme="minorHAnsi"/>
          <w:color w:val="333333"/>
          <w:sz w:val="27"/>
          <w:szCs w:val="27"/>
        </w:rPr>
        <w:t xml:space="preserve"> it meant by “some educational benefit.” </w:t>
      </w:r>
    </w:p>
    <w:p w:rsidR="00C26607" w:rsidRPr="00C26607" w:rsidRDefault="00C26607" w:rsidP="00C26607">
      <w:pPr>
        <w:pStyle w:val="NormalWeb"/>
        <w:shd w:val="clear" w:color="auto" w:fill="FFFFFF"/>
        <w:spacing w:before="0" w:beforeAutospacing="0" w:after="375" w:afterAutospacing="0" w:line="372" w:lineRule="atLeast"/>
        <w:jc w:val="center"/>
        <w:rPr>
          <w:rFonts w:asciiTheme="minorHAnsi" w:hAnsiTheme="minorHAnsi"/>
          <w:i/>
          <w:color w:val="333333"/>
          <w:sz w:val="27"/>
          <w:szCs w:val="27"/>
        </w:rPr>
      </w:pPr>
      <w:r w:rsidRPr="00C26607">
        <w:rPr>
          <w:rFonts w:asciiTheme="minorHAnsi" w:hAnsiTheme="minorHAnsi"/>
          <w:i/>
          <w:color w:val="333333"/>
          <w:sz w:val="27"/>
          <w:szCs w:val="27"/>
        </w:rPr>
        <w:t>The Endrew F Case</w:t>
      </w:r>
    </w:p>
    <w:p w:rsidR="0010012E" w:rsidRDefault="0010012E" w:rsidP="004E46E7">
      <w:pPr>
        <w:pStyle w:val="NormalWeb"/>
        <w:shd w:val="clear" w:color="auto" w:fill="FFFFFF"/>
        <w:spacing w:before="0" w:beforeAutospacing="0" w:after="375" w:afterAutospacing="0" w:line="372" w:lineRule="atLeast"/>
        <w:rPr>
          <w:rFonts w:asciiTheme="minorHAnsi" w:hAnsiTheme="minorHAnsi"/>
          <w:color w:val="333333"/>
          <w:sz w:val="27"/>
          <w:szCs w:val="27"/>
        </w:rPr>
      </w:pPr>
      <w:r>
        <w:rPr>
          <w:rFonts w:asciiTheme="minorHAnsi" w:hAnsiTheme="minorHAnsi"/>
          <w:color w:val="333333"/>
          <w:sz w:val="27"/>
          <w:szCs w:val="27"/>
        </w:rPr>
        <w:t>Endrew’s (“Drew”</w:t>
      </w:r>
      <w:r w:rsidR="004E25CF">
        <w:rPr>
          <w:rFonts w:asciiTheme="minorHAnsi" w:hAnsiTheme="minorHAnsi"/>
          <w:color w:val="333333"/>
          <w:sz w:val="27"/>
          <w:szCs w:val="27"/>
        </w:rPr>
        <w:t>) parents, believing that the Individualized Education Program (“IEP”) that had been offered to their son would not produce meaningful educational progress, withdrew</w:t>
      </w:r>
      <w:r>
        <w:rPr>
          <w:rFonts w:asciiTheme="minorHAnsi" w:hAnsiTheme="minorHAnsi"/>
          <w:color w:val="333333"/>
          <w:sz w:val="27"/>
          <w:szCs w:val="27"/>
        </w:rPr>
        <w:t xml:space="preserve"> </w:t>
      </w:r>
      <w:r w:rsidR="004E25CF">
        <w:rPr>
          <w:rFonts w:asciiTheme="minorHAnsi" w:hAnsiTheme="minorHAnsi"/>
          <w:color w:val="333333"/>
          <w:sz w:val="27"/>
          <w:szCs w:val="27"/>
        </w:rPr>
        <w:t xml:space="preserve">Drew </w:t>
      </w:r>
      <w:r>
        <w:rPr>
          <w:rFonts w:asciiTheme="minorHAnsi" w:hAnsiTheme="minorHAnsi"/>
          <w:color w:val="333333"/>
          <w:sz w:val="27"/>
          <w:szCs w:val="27"/>
        </w:rPr>
        <w:t>from his public</w:t>
      </w:r>
      <w:r w:rsidR="004E25CF">
        <w:rPr>
          <w:rFonts w:asciiTheme="minorHAnsi" w:hAnsiTheme="minorHAnsi"/>
          <w:color w:val="333333"/>
          <w:sz w:val="27"/>
          <w:szCs w:val="27"/>
        </w:rPr>
        <w:t xml:space="preserve"> elementary</w:t>
      </w:r>
      <w:r>
        <w:rPr>
          <w:rFonts w:asciiTheme="minorHAnsi" w:hAnsiTheme="minorHAnsi"/>
          <w:color w:val="333333"/>
          <w:sz w:val="27"/>
          <w:szCs w:val="27"/>
        </w:rPr>
        <w:t xml:space="preserve"> school in Colorado</w:t>
      </w:r>
      <w:r w:rsidR="00C065C2">
        <w:rPr>
          <w:rFonts w:asciiTheme="minorHAnsi" w:hAnsiTheme="minorHAnsi"/>
          <w:color w:val="333333"/>
          <w:sz w:val="27"/>
          <w:szCs w:val="27"/>
        </w:rPr>
        <w:t xml:space="preserve">, enrolling him </w:t>
      </w:r>
      <w:r w:rsidR="004E25CF">
        <w:rPr>
          <w:rFonts w:asciiTheme="minorHAnsi" w:hAnsiTheme="minorHAnsi"/>
          <w:color w:val="333333"/>
          <w:sz w:val="27"/>
          <w:szCs w:val="27"/>
        </w:rPr>
        <w:t xml:space="preserve">in private </w:t>
      </w:r>
      <w:r>
        <w:rPr>
          <w:rFonts w:asciiTheme="minorHAnsi" w:hAnsiTheme="minorHAnsi"/>
          <w:color w:val="333333"/>
          <w:sz w:val="27"/>
          <w:szCs w:val="27"/>
        </w:rPr>
        <w:t>school</w:t>
      </w:r>
      <w:r w:rsidR="004E25CF">
        <w:rPr>
          <w:rFonts w:asciiTheme="minorHAnsi" w:hAnsiTheme="minorHAnsi"/>
          <w:color w:val="333333"/>
          <w:sz w:val="27"/>
          <w:szCs w:val="27"/>
        </w:rPr>
        <w:t xml:space="preserve"> that specializes in educating children with autism.  Drew’s parents</w:t>
      </w:r>
      <w:r>
        <w:rPr>
          <w:rFonts w:asciiTheme="minorHAnsi" w:hAnsiTheme="minorHAnsi"/>
          <w:color w:val="333333"/>
          <w:sz w:val="27"/>
          <w:szCs w:val="27"/>
        </w:rPr>
        <w:t xml:space="preserve"> then sought reimbursement</w:t>
      </w:r>
      <w:r w:rsidR="004E25CF">
        <w:rPr>
          <w:rFonts w:asciiTheme="minorHAnsi" w:hAnsiTheme="minorHAnsi"/>
          <w:color w:val="333333"/>
          <w:sz w:val="27"/>
          <w:szCs w:val="27"/>
        </w:rPr>
        <w:t xml:space="preserve"> for Drew’s tuition</w:t>
      </w:r>
      <w:r>
        <w:rPr>
          <w:rFonts w:asciiTheme="minorHAnsi" w:hAnsiTheme="minorHAnsi"/>
          <w:color w:val="333333"/>
          <w:sz w:val="27"/>
          <w:szCs w:val="27"/>
        </w:rPr>
        <w:t xml:space="preserve"> from the Douglas School District, arguing that their son had been denied a FAPE by his public school.  Both the state administrative law judge and the district court judge rejected the parents’ claim on the ground that Drew had been able to obtain “some” educational benefit from his school.   The Court of Appeals for the 10</w:t>
      </w:r>
      <w:r w:rsidRPr="0010012E">
        <w:rPr>
          <w:rFonts w:asciiTheme="minorHAnsi" w:hAnsiTheme="minorHAnsi"/>
          <w:color w:val="333333"/>
          <w:sz w:val="27"/>
          <w:szCs w:val="27"/>
          <w:vertAlign w:val="superscript"/>
        </w:rPr>
        <w:t>th</w:t>
      </w:r>
      <w:r>
        <w:rPr>
          <w:rFonts w:asciiTheme="minorHAnsi" w:hAnsiTheme="minorHAnsi"/>
          <w:color w:val="333333"/>
          <w:sz w:val="27"/>
          <w:szCs w:val="27"/>
        </w:rPr>
        <w:t xml:space="preserve"> Circuit affirmed, holding that “the educational benefit mandated by IDEA must merely be more than </w:t>
      </w:r>
      <w:r w:rsidRPr="0010012E">
        <w:rPr>
          <w:rFonts w:asciiTheme="minorHAnsi" w:hAnsiTheme="minorHAnsi"/>
          <w:i/>
          <w:color w:val="333333"/>
          <w:sz w:val="27"/>
          <w:szCs w:val="27"/>
        </w:rPr>
        <w:t>de minimis</w:t>
      </w:r>
      <w:r>
        <w:rPr>
          <w:rFonts w:asciiTheme="minorHAnsi" w:hAnsiTheme="minorHAnsi"/>
          <w:color w:val="333333"/>
          <w:sz w:val="27"/>
          <w:szCs w:val="27"/>
        </w:rPr>
        <w:t xml:space="preserve">” and that the educational benefit that Drew received satisfied that standard. </w:t>
      </w:r>
    </w:p>
    <w:p w:rsidR="0010012E" w:rsidRDefault="0010012E" w:rsidP="004E46E7">
      <w:pPr>
        <w:pStyle w:val="NormalWeb"/>
        <w:shd w:val="clear" w:color="auto" w:fill="FFFFFF"/>
        <w:spacing w:before="0" w:beforeAutospacing="0" w:after="375" w:afterAutospacing="0" w:line="372" w:lineRule="atLeast"/>
        <w:rPr>
          <w:rFonts w:asciiTheme="minorHAnsi" w:hAnsiTheme="minorHAnsi"/>
          <w:color w:val="333333"/>
          <w:sz w:val="27"/>
          <w:szCs w:val="27"/>
        </w:rPr>
      </w:pPr>
      <w:r>
        <w:rPr>
          <w:rFonts w:asciiTheme="minorHAnsi" w:hAnsiTheme="minorHAnsi"/>
          <w:color w:val="333333"/>
          <w:sz w:val="27"/>
          <w:szCs w:val="27"/>
        </w:rPr>
        <w:t>Drew’s parents appealed to the Supreme Court, noting that courts across the country are not uniform in their interpreta</w:t>
      </w:r>
      <w:r w:rsidR="004E25CF">
        <w:rPr>
          <w:rFonts w:asciiTheme="minorHAnsi" w:hAnsiTheme="minorHAnsi"/>
          <w:color w:val="333333"/>
          <w:sz w:val="27"/>
          <w:szCs w:val="27"/>
        </w:rPr>
        <w:t xml:space="preserve">tion of what is required by </w:t>
      </w:r>
      <w:r>
        <w:rPr>
          <w:rFonts w:asciiTheme="minorHAnsi" w:hAnsiTheme="minorHAnsi"/>
          <w:color w:val="333333"/>
          <w:sz w:val="27"/>
          <w:szCs w:val="27"/>
        </w:rPr>
        <w:t>“some</w:t>
      </w:r>
      <w:r w:rsidR="004E25CF">
        <w:rPr>
          <w:rFonts w:asciiTheme="minorHAnsi" w:hAnsiTheme="minorHAnsi"/>
          <w:color w:val="333333"/>
          <w:sz w:val="27"/>
          <w:szCs w:val="27"/>
        </w:rPr>
        <w:t xml:space="preserve">” educational benefit. </w:t>
      </w:r>
      <w:r>
        <w:rPr>
          <w:rFonts w:asciiTheme="minorHAnsi" w:hAnsiTheme="minorHAnsi"/>
          <w:color w:val="333333"/>
          <w:sz w:val="27"/>
          <w:szCs w:val="27"/>
        </w:rPr>
        <w:t xml:space="preserve"> </w:t>
      </w:r>
      <w:r w:rsidR="00EE4A66">
        <w:rPr>
          <w:rFonts w:asciiTheme="minorHAnsi" w:hAnsiTheme="minorHAnsi"/>
          <w:color w:val="333333"/>
          <w:sz w:val="27"/>
          <w:szCs w:val="27"/>
        </w:rPr>
        <w:t>While most courts of appeal (including the 7</w:t>
      </w:r>
      <w:r w:rsidR="00EE4A66" w:rsidRPr="00EE4A66">
        <w:rPr>
          <w:rFonts w:asciiTheme="minorHAnsi" w:hAnsiTheme="minorHAnsi"/>
          <w:color w:val="333333"/>
          <w:sz w:val="27"/>
          <w:szCs w:val="27"/>
          <w:vertAlign w:val="superscript"/>
        </w:rPr>
        <w:t>th</w:t>
      </w:r>
      <w:r w:rsidR="00EE4A66">
        <w:rPr>
          <w:rFonts w:asciiTheme="minorHAnsi" w:hAnsiTheme="minorHAnsi"/>
          <w:color w:val="333333"/>
          <w:sz w:val="27"/>
          <w:szCs w:val="27"/>
        </w:rPr>
        <w:t xml:space="preserve"> Circuit, which is </w:t>
      </w:r>
      <w:r w:rsidR="00EE4A66">
        <w:rPr>
          <w:rFonts w:asciiTheme="minorHAnsi" w:hAnsiTheme="minorHAnsi"/>
          <w:color w:val="333333"/>
          <w:sz w:val="27"/>
          <w:szCs w:val="27"/>
        </w:rPr>
        <w:lastRenderedPageBreak/>
        <w:t xml:space="preserve">the court of appeal with jurisdiction over Illinois, Indiana and Wisconsin) concur with the position that schools must simply provide education that is more than </w:t>
      </w:r>
      <w:r w:rsidR="00EE4A66" w:rsidRPr="00EE4A66">
        <w:rPr>
          <w:rFonts w:asciiTheme="minorHAnsi" w:hAnsiTheme="minorHAnsi"/>
          <w:i/>
          <w:color w:val="333333"/>
          <w:sz w:val="27"/>
          <w:szCs w:val="27"/>
        </w:rPr>
        <w:t>de minimis</w:t>
      </w:r>
      <w:r w:rsidR="00EE4A66">
        <w:rPr>
          <w:rFonts w:asciiTheme="minorHAnsi" w:hAnsiTheme="minorHAnsi"/>
          <w:i/>
          <w:color w:val="333333"/>
          <w:sz w:val="27"/>
          <w:szCs w:val="27"/>
        </w:rPr>
        <w:t xml:space="preserve"> </w:t>
      </w:r>
      <w:r w:rsidR="00EE4A66" w:rsidRPr="00EE4A66">
        <w:rPr>
          <w:rFonts w:asciiTheme="minorHAnsi" w:hAnsiTheme="minorHAnsi"/>
          <w:color w:val="333333"/>
          <w:sz w:val="27"/>
          <w:szCs w:val="27"/>
        </w:rPr>
        <w:t>(or merely more than trivial),</w:t>
      </w:r>
      <w:r w:rsidR="00EE4A66">
        <w:rPr>
          <w:rFonts w:asciiTheme="minorHAnsi" w:hAnsiTheme="minorHAnsi"/>
          <w:color w:val="333333"/>
          <w:sz w:val="27"/>
          <w:szCs w:val="27"/>
        </w:rPr>
        <w:t xml:space="preserve"> two circuits (the third and sixth) apply a more rigorous standard, requiring that schools provide “significant learning and meaningful benefit” and that the “benefit” must be “gauged in relation to a child’s potential.”</w:t>
      </w:r>
      <w:r w:rsidR="00C065C2">
        <w:rPr>
          <w:rFonts w:asciiTheme="minorHAnsi" w:hAnsiTheme="minorHAnsi"/>
          <w:color w:val="333333"/>
          <w:sz w:val="27"/>
          <w:szCs w:val="27"/>
        </w:rPr>
        <w:t xml:space="preserve">  The Supreme Court granted the review to resolve this conflict between the circuits.</w:t>
      </w:r>
    </w:p>
    <w:p w:rsidR="00C26607" w:rsidRPr="00E614DF" w:rsidRDefault="00E614DF" w:rsidP="00C26607">
      <w:pPr>
        <w:pStyle w:val="NormalWeb"/>
        <w:shd w:val="clear" w:color="auto" w:fill="FFFFFF"/>
        <w:spacing w:before="0" w:beforeAutospacing="0" w:after="375" w:afterAutospacing="0" w:line="372" w:lineRule="atLeast"/>
        <w:jc w:val="center"/>
        <w:rPr>
          <w:rFonts w:asciiTheme="minorHAnsi" w:hAnsiTheme="minorHAnsi"/>
          <w:i/>
          <w:color w:val="333333"/>
          <w:sz w:val="27"/>
          <w:szCs w:val="27"/>
        </w:rPr>
      </w:pPr>
      <w:r w:rsidRPr="00E614DF">
        <w:rPr>
          <w:rFonts w:asciiTheme="minorHAnsi" w:hAnsiTheme="minorHAnsi"/>
          <w:i/>
          <w:color w:val="333333"/>
          <w:sz w:val="27"/>
          <w:szCs w:val="27"/>
        </w:rPr>
        <w:t>The Import of Endrew F. for All Children with Disabilities</w:t>
      </w:r>
    </w:p>
    <w:p w:rsidR="00CF7A5F" w:rsidRDefault="00CF7A5F" w:rsidP="004E46E7">
      <w:pPr>
        <w:pStyle w:val="NormalWeb"/>
        <w:shd w:val="clear" w:color="auto" w:fill="FFFFFF"/>
        <w:spacing w:before="0" w:beforeAutospacing="0" w:after="375" w:afterAutospacing="0" w:line="372" w:lineRule="atLeast"/>
        <w:rPr>
          <w:rFonts w:asciiTheme="minorHAnsi" w:hAnsiTheme="minorHAnsi"/>
          <w:color w:val="333333"/>
          <w:sz w:val="27"/>
          <w:szCs w:val="27"/>
        </w:rPr>
      </w:pPr>
      <w:r>
        <w:rPr>
          <w:rFonts w:asciiTheme="minorHAnsi" w:hAnsiTheme="minorHAnsi"/>
          <w:color w:val="333333"/>
          <w:sz w:val="27"/>
          <w:szCs w:val="27"/>
        </w:rPr>
        <w:t xml:space="preserve">The FAPE standard is critical to parents of children with disabilities as it provides the yardstick by which the </w:t>
      </w:r>
      <w:r w:rsidR="00E614DF">
        <w:rPr>
          <w:rFonts w:asciiTheme="minorHAnsi" w:hAnsiTheme="minorHAnsi"/>
          <w:color w:val="333333"/>
          <w:sz w:val="27"/>
          <w:szCs w:val="27"/>
        </w:rPr>
        <w:t xml:space="preserve">IEP (and the school’s provision of educational benefit) </w:t>
      </w:r>
      <w:r>
        <w:rPr>
          <w:rFonts w:asciiTheme="minorHAnsi" w:hAnsiTheme="minorHAnsi"/>
          <w:color w:val="333333"/>
          <w:sz w:val="27"/>
          <w:szCs w:val="27"/>
        </w:rPr>
        <w:t>will be measured.  Any parent who wishes to dispute the adequacy of service</w:t>
      </w:r>
      <w:r w:rsidR="00C065C2">
        <w:rPr>
          <w:rFonts w:asciiTheme="minorHAnsi" w:hAnsiTheme="minorHAnsi"/>
          <w:color w:val="333333"/>
          <w:sz w:val="27"/>
          <w:szCs w:val="27"/>
        </w:rPr>
        <w:t>s and supports or the educational placement in their child’s IEP has the burden of showing that the school has not offered their child a FAPE.  The “more than trivial” (or more than de minimis) benefit standard applied in the 7</w:t>
      </w:r>
      <w:r w:rsidR="00C065C2" w:rsidRPr="00C065C2">
        <w:rPr>
          <w:rFonts w:asciiTheme="minorHAnsi" w:hAnsiTheme="minorHAnsi"/>
          <w:color w:val="333333"/>
          <w:sz w:val="27"/>
          <w:szCs w:val="27"/>
          <w:vertAlign w:val="superscript"/>
        </w:rPr>
        <w:t>th</w:t>
      </w:r>
      <w:r w:rsidR="00C065C2">
        <w:rPr>
          <w:rFonts w:asciiTheme="minorHAnsi" w:hAnsiTheme="minorHAnsi"/>
          <w:color w:val="333333"/>
          <w:sz w:val="27"/>
          <w:szCs w:val="27"/>
        </w:rPr>
        <w:t xml:space="preserve"> Circuit is abysmally low.  Let us hope that the Supreme Court agrees and requires schools to aim for and </w:t>
      </w:r>
      <w:r w:rsidR="00E614DF">
        <w:rPr>
          <w:rFonts w:asciiTheme="minorHAnsi" w:hAnsiTheme="minorHAnsi"/>
          <w:color w:val="333333"/>
          <w:sz w:val="27"/>
          <w:szCs w:val="27"/>
        </w:rPr>
        <w:t xml:space="preserve">to </w:t>
      </w:r>
      <w:r w:rsidR="00C065C2">
        <w:rPr>
          <w:rFonts w:asciiTheme="minorHAnsi" w:hAnsiTheme="minorHAnsi"/>
          <w:color w:val="333333"/>
          <w:sz w:val="27"/>
          <w:szCs w:val="27"/>
        </w:rPr>
        <w:t xml:space="preserve">provide educational benefits that are </w:t>
      </w:r>
      <w:r w:rsidR="00C065C2" w:rsidRPr="00E614DF">
        <w:rPr>
          <w:rFonts w:asciiTheme="minorHAnsi" w:hAnsiTheme="minorHAnsi"/>
          <w:i/>
          <w:color w:val="333333"/>
          <w:sz w:val="27"/>
          <w:szCs w:val="27"/>
        </w:rPr>
        <w:t xml:space="preserve">meaningful </w:t>
      </w:r>
      <w:r w:rsidR="00C065C2">
        <w:rPr>
          <w:rFonts w:asciiTheme="minorHAnsi" w:hAnsiTheme="minorHAnsi"/>
          <w:color w:val="333333"/>
          <w:sz w:val="27"/>
          <w:szCs w:val="27"/>
        </w:rPr>
        <w:t xml:space="preserve">in light of the child’s potential and the IDEA’s stated purposes. </w:t>
      </w:r>
      <w:bookmarkStart w:id="0" w:name="_GoBack"/>
      <w:bookmarkEnd w:id="0"/>
    </w:p>
    <w:p w:rsidR="00C065C2" w:rsidRPr="00EE4A66" w:rsidRDefault="00C065C2" w:rsidP="004E46E7">
      <w:pPr>
        <w:pStyle w:val="NormalWeb"/>
        <w:shd w:val="clear" w:color="auto" w:fill="FFFFFF"/>
        <w:spacing w:before="0" w:beforeAutospacing="0" w:after="375" w:afterAutospacing="0" w:line="372" w:lineRule="atLeast"/>
        <w:rPr>
          <w:rFonts w:asciiTheme="minorHAnsi" w:hAnsiTheme="minorHAnsi"/>
          <w:color w:val="333333"/>
          <w:sz w:val="27"/>
          <w:szCs w:val="27"/>
        </w:rPr>
      </w:pPr>
    </w:p>
    <w:p w:rsidR="007925DB" w:rsidRPr="00166B61" w:rsidRDefault="007925DB" w:rsidP="004E46E7">
      <w:pPr>
        <w:pStyle w:val="NormalWeb"/>
        <w:shd w:val="clear" w:color="auto" w:fill="FFFFFF"/>
        <w:spacing w:before="0" w:beforeAutospacing="0" w:after="375" w:afterAutospacing="0" w:line="372" w:lineRule="atLeast"/>
        <w:rPr>
          <w:rFonts w:asciiTheme="minorHAnsi" w:hAnsiTheme="minorHAnsi"/>
          <w:color w:val="333333"/>
          <w:sz w:val="27"/>
          <w:szCs w:val="27"/>
        </w:rPr>
      </w:pPr>
    </w:p>
    <w:p w:rsidR="004E46E7" w:rsidRDefault="004E46E7" w:rsidP="004E46E7">
      <w:pPr>
        <w:pStyle w:val="NormalWeb"/>
        <w:shd w:val="clear" w:color="auto" w:fill="FFFFFF"/>
        <w:spacing w:before="0" w:beforeAutospacing="0" w:after="375" w:afterAutospacing="0" w:line="372" w:lineRule="atLeast"/>
        <w:rPr>
          <w:rFonts w:ascii="Georgia" w:hAnsi="Georgia"/>
          <w:color w:val="333333"/>
          <w:sz w:val="27"/>
          <w:szCs w:val="27"/>
        </w:rPr>
      </w:pPr>
    </w:p>
    <w:sectPr w:rsidR="004E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E7"/>
    <w:rsid w:val="0010012E"/>
    <w:rsid w:val="00166B61"/>
    <w:rsid w:val="004E25CF"/>
    <w:rsid w:val="004E46E7"/>
    <w:rsid w:val="007925DB"/>
    <w:rsid w:val="00C065C2"/>
    <w:rsid w:val="00C07151"/>
    <w:rsid w:val="00C26607"/>
    <w:rsid w:val="00CF7A5F"/>
    <w:rsid w:val="00D051BC"/>
    <w:rsid w:val="00E614DF"/>
    <w:rsid w:val="00EE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6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1091">
      <w:bodyDiv w:val="1"/>
      <w:marLeft w:val="0"/>
      <w:marRight w:val="0"/>
      <w:marTop w:val="0"/>
      <w:marBottom w:val="0"/>
      <w:divBdr>
        <w:top w:val="none" w:sz="0" w:space="0" w:color="auto"/>
        <w:left w:val="none" w:sz="0" w:space="0" w:color="auto"/>
        <w:bottom w:val="none" w:sz="0" w:space="0" w:color="auto"/>
        <w:right w:val="none" w:sz="0" w:space="0" w:color="auto"/>
      </w:divBdr>
    </w:div>
    <w:div w:id="496962832">
      <w:bodyDiv w:val="1"/>
      <w:marLeft w:val="0"/>
      <w:marRight w:val="0"/>
      <w:marTop w:val="0"/>
      <w:marBottom w:val="0"/>
      <w:divBdr>
        <w:top w:val="none" w:sz="0" w:space="0" w:color="auto"/>
        <w:left w:val="none" w:sz="0" w:space="0" w:color="auto"/>
        <w:bottom w:val="none" w:sz="0" w:space="0" w:color="auto"/>
        <w:right w:val="none" w:sz="0" w:space="0" w:color="auto"/>
      </w:divBdr>
      <w:divsChild>
        <w:div w:id="1198392352">
          <w:marLeft w:val="0"/>
          <w:marRight w:val="0"/>
          <w:marTop w:val="0"/>
          <w:marBottom w:val="0"/>
          <w:divBdr>
            <w:top w:val="none" w:sz="0" w:space="0" w:color="auto"/>
            <w:left w:val="none" w:sz="0" w:space="0" w:color="auto"/>
            <w:bottom w:val="none" w:sz="0" w:space="0" w:color="auto"/>
            <w:right w:val="none" w:sz="0" w:space="0" w:color="auto"/>
          </w:divBdr>
        </w:div>
        <w:div w:id="1092897408">
          <w:marLeft w:val="0"/>
          <w:marRight w:val="0"/>
          <w:marTop w:val="0"/>
          <w:marBottom w:val="0"/>
          <w:divBdr>
            <w:top w:val="none" w:sz="0" w:space="0" w:color="auto"/>
            <w:left w:val="none" w:sz="0" w:space="0" w:color="auto"/>
            <w:bottom w:val="none" w:sz="0" w:space="0" w:color="auto"/>
            <w:right w:val="none" w:sz="0" w:space="0" w:color="auto"/>
          </w:divBdr>
          <w:divsChild>
            <w:div w:id="1293057912">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1209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2016-11-26T01:32:00Z</dcterms:created>
  <dcterms:modified xsi:type="dcterms:W3CDTF">2016-11-26T01:32:00Z</dcterms:modified>
</cp:coreProperties>
</file>