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2F22" w:rsidRDefault="00202F22" w:rsidP="00202F22">
      <w:pPr>
        <w:contextualSpacing/>
        <w:jc w:val="center"/>
        <w:rPr>
          <w:b/>
          <w:bCs/>
        </w:rPr>
      </w:pPr>
      <w:r>
        <w:rPr>
          <w:b/>
          <w:bCs/>
        </w:rPr>
        <w:t>Emergency Medicine Learning &amp; Resource Center</w:t>
      </w:r>
    </w:p>
    <w:p w:rsidR="00202F22" w:rsidRDefault="00202F22" w:rsidP="00202F22">
      <w:pPr>
        <w:contextualSpacing/>
        <w:jc w:val="center"/>
        <w:rPr>
          <w:b/>
          <w:bCs/>
        </w:rPr>
      </w:pPr>
      <w:r>
        <w:rPr>
          <w:b/>
          <w:bCs/>
        </w:rPr>
        <w:t>Street Drugs Webinar Series</w:t>
      </w:r>
    </w:p>
    <w:p w:rsidR="00202F22" w:rsidRDefault="00202F22" w:rsidP="00202F22">
      <w:pPr>
        <w:contextualSpacing/>
        <w:rPr>
          <w:rFonts w:ascii="Calibri" w:hAnsi="Calibri"/>
          <w:b/>
          <w:u w:val="single"/>
        </w:rPr>
      </w:pPr>
    </w:p>
    <w:p w:rsidR="00202F22" w:rsidRPr="00EF6F6A" w:rsidRDefault="00202F22" w:rsidP="00202F22">
      <w:pPr>
        <w:contextualSpacing/>
        <w:rPr>
          <w:rFonts w:ascii="Calibri" w:hAnsi="Calibri"/>
        </w:rPr>
      </w:pPr>
      <w:r>
        <w:rPr>
          <w:rFonts w:ascii="Calibri" w:hAnsi="Calibri"/>
          <w:b/>
          <w:u w:val="single"/>
        </w:rPr>
        <w:t>Topic:</w:t>
      </w:r>
      <w:r w:rsidRPr="00323CBF">
        <w:rPr>
          <w:rFonts w:ascii="Calibri" w:hAnsi="Calibri"/>
          <w:b/>
        </w:rPr>
        <w:t xml:space="preserve"> </w:t>
      </w:r>
      <w:r>
        <w:rPr>
          <w:i/>
        </w:rPr>
        <w:t>The New Heroin Epidemic</w:t>
      </w:r>
    </w:p>
    <w:p w:rsidR="00202F22" w:rsidRPr="00EE67DB" w:rsidRDefault="00202F22" w:rsidP="00202F22">
      <w:pPr>
        <w:contextualSpacing/>
        <w:rPr>
          <w:rFonts w:ascii="Calibri" w:hAnsi="Calibri"/>
          <w:b/>
          <w:u w:val="single"/>
        </w:rPr>
      </w:pPr>
      <w:r w:rsidRPr="00EE67DB">
        <w:rPr>
          <w:rFonts w:ascii="Calibri" w:hAnsi="Calibri"/>
          <w:b/>
          <w:u w:val="single"/>
        </w:rPr>
        <w:t>Date and Location</w:t>
      </w:r>
      <w:r w:rsidRPr="00EE67DB">
        <w:rPr>
          <w:rFonts w:ascii="Calibri" w:hAnsi="Calibri"/>
          <w:b/>
        </w:rPr>
        <w:t>:</w:t>
      </w:r>
      <w:bookmarkStart w:id="0" w:name="_GoBack"/>
      <w:bookmarkEnd w:id="0"/>
    </w:p>
    <w:p w:rsidR="00202F22" w:rsidRPr="00EE67DB" w:rsidRDefault="00202F22" w:rsidP="00202F22">
      <w:pPr>
        <w:contextualSpacing/>
        <w:rPr>
          <w:rFonts w:ascii="Calibri" w:hAnsi="Calibri"/>
        </w:rPr>
      </w:pPr>
      <w:r w:rsidRPr="00EE67DB">
        <w:rPr>
          <w:rFonts w:ascii="Calibri" w:hAnsi="Calibri"/>
        </w:rPr>
        <w:t>Date:</w:t>
      </w:r>
      <w:r>
        <w:rPr>
          <w:rFonts w:ascii="Calibri" w:hAnsi="Calibri"/>
        </w:rPr>
        <w:t xml:space="preserve"> September </w:t>
      </w:r>
      <w:r w:rsidR="004331F7">
        <w:rPr>
          <w:rFonts w:ascii="Calibri" w:hAnsi="Calibri"/>
        </w:rPr>
        <w:t>26</w:t>
      </w:r>
      <w:r>
        <w:rPr>
          <w:rFonts w:ascii="Calibri" w:hAnsi="Calibri"/>
        </w:rPr>
        <w:t xml:space="preserve">, 2016 </w:t>
      </w:r>
      <w:r w:rsidR="004331F7">
        <w:rPr>
          <w:rFonts w:ascii="Calibri" w:hAnsi="Calibri"/>
        </w:rPr>
        <w:t>thru October 22, 2016</w:t>
      </w:r>
    </w:p>
    <w:p w:rsidR="00202F22" w:rsidRPr="00907FD4" w:rsidRDefault="00202F22" w:rsidP="00202F22">
      <w:pPr>
        <w:contextualSpacing/>
        <w:rPr>
          <w:rFonts w:ascii="Calibri" w:hAnsi="Calibri"/>
          <w:i/>
        </w:rPr>
      </w:pPr>
      <w:r w:rsidRPr="005B21CC">
        <w:rPr>
          <w:rFonts w:ascii="Calibri" w:hAnsi="Calibri"/>
        </w:rPr>
        <w:t>Location</w:t>
      </w:r>
      <w:r>
        <w:rPr>
          <w:rFonts w:ascii="Calibri" w:hAnsi="Calibri"/>
        </w:rPr>
        <w:t xml:space="preserve">: </w:t>
      </w:r>
      <w:r w:rsidR="004331F7">
        <w:rPr>
          <w:rFonts w:ascii="Calibri" w:hAnsi="Calibri"/>
        </w:rPr>
        <w:t xml:space="preserve">Playback </w:t>
      </w:r>
      <w:r>
        <w:rPr>
          <w:rFonts w:ascii="Calibri" w:hAnsi="Calibri"/>
        </w:rPr>
        <w:t xml:space="preserve">available through </w:t>
      </w:r>
      <w:proofErr w:type="spellStart"/>
      <w:r>
        <w:rPr>
          <w:rFonts w:ascii="Calibri" w:hAnsi="Calibri"/>
        </w:rPr>
        <w:t>ReadyTalk</w:t>
      </w:r>
      <w:proofErr w:type="spellEnd"/>
    </w:p>
    <w:p w:rsidR="00202F22" w:rsidRDefault="00202F22" w:rsidP="00202F22">
      <w:pPr>
        <w:contextualSpacing/>
        <w:rPr>
          <w:rFonts w:ascii="Calibri" w:hAnsi="Calibri"/>
          <w:b/>
          <w:u w:val="single"/>
        </w:rPr>
      </w:pPr>
    </w:p>
    <w:p w:rsidR="00202F22" w:rsidRPr="00323CBF" w:rsidRDefault="00202F22" w:rsidP="00202F22">
      <w:pPr>
        <w:contextualSpacing/>
        <w:rPr>
          <w:rFonts w:ascii="Calibri" w:hAnsi="Calibri"/>
        </w:rPr>
      </w:pPr>
      <w:r>
        <w:rPr>
          <w:rFonts w:ascii="Calibri" w:hAnsi="Calibri"/>
          <w:b/>
          <w:u w:val="single"/>
        </w:rPr>
        <w:t>Duration:</w:t>
      </w:r>
      <w:r>
        <w:rPr>
          <w:rFonts w:ascii="Calibri" w:hAnsi="Calibri"/>
        </w:rPr>
        <w:t xml:space="preserve"> 60 minutes</w:t>
      </w:r>
    </w:p>
    <w:p w:rsidR="00202F22" w:rsidRDefault="00202F22" w:rsidP="00202F22">
      <w:pPr>
        <w:contextualSpacing/>
        <w:rPr>
          <w:rFonts w:ascii="Calibri" w:hAnsi="Calibri"/>
          <w:b/>
          <w:u w:val="single"/>
        </w:rPr>
      </w:pPr>
    </w:p>
    <w:p w:rsidR="00202F22" w:rsidRDefault="00202F22" w:rsidP="00202F22">
      <w:pPr>
        <w:contextualSpacing/>
      </w:pPr>
      <w:r w:rsidRPr="00EE67DB">
        <w:rPr>
          <w:rFonts w:ascii="Calibri" w:hAnsi="Calibri"/>
          <w:b/>
          <w:u w:val="single"/>
        </w:rPr>
        <w:t>Target Audience</w:t>
      </w:r>
      <w:r w:rsidRPr="00EE67DB">
        <w:rPr>
          <w:rFonts w:ascii="Calibri" w:hAnsi="Calibri"/>
          <w:b/>
        </w:rPr>
        <w:t>:</w:t>
      </w:r>
      <w:r>
        <w:rPr>
          <w:rFonts w:ascii="Calibri" w:hAnsi="Calibri"/>
          <w:b/>
        </w:rPr>
        <w:t xml:space="preserve"> </w:t>
      </w:r>
      <w:r>
        <w:t xml:space="preserve">all licensed EM professionals in Florida and other allied health professionals treating patients affected by street drugs.  </w:t>
      </w:r>
    </w:p>
    <w:p w:rsidR="00202F22" w:rsidRDefault="00202F22" w:rsidP="00202F22">
      <w:pPr>
        <w:contextualSpacing/>
        <w:rPr>
          <w:rFonts w:ascii="Calibri" w:hAnsi="Calibri"/>
          <w:b/>
          <w:u w:val="single"/>
        </w:rPr>
      </w:pPr>
    </w:p>
    <w:p w:rsidR="00202F22" w:rsidRDefault="00202F22" w:rsidP="00202F22">
      <w:pPr>
        <w:contextualSpacing/>
        <w:rPr>
          <w:rFonts w:ascii="Calibri" w:hAnsi="Calibri"/>
          <w:b/>
          <w:u w:val="single"/>
        </w:rPr>
      </w:pPr>
      <w:r>
        <w:rPr>
          <w:rFonts w:ascii="Calibri" w:hAnsi="Calibri"/>
          <w:b/>
          <w:u w:val="single"/>
        </w:rPr>
        <w:t>Prerequisites:</w:t>
      </w:r>
      <w:r w:rsidRPr="002C0E9C">
        <w:rPr>
          <w:rFonts w:ascii="Calibri" w:hAnsi="Calibri"/>
        </w:rPr>
        <w:t xml:space="preserve"> </w:t>
      </w:r>
      <w:r>
        <w:rPr>
          <w:rFonts w:ascii="Calibri" w:hAnsi="Calibri"/>
        </w:rPr>
        <w:t>NONE</w:t>
      </w:r>
    </w:p>
    <w:p w:rsidR="00202F22" w:rsidRDefault="00202F22" w:rsidP="00202F22">
      <w:pPr>
        <w:contextualSpacing/>
        <w:rPr>
          <w:rFonts w:ascii="Calibri" w:hAnsi="Calibri"/>
        </w:rPr>
      </w:pPr>
      <w:r>
        <w:rPr>
          <w:rFonts w:ascii="Calibri" w:hAnsi="Calibri"/>
          <w:b/>
          <w:u w:val="single"/>
        </w:rPr>
        <w:t>COST</w:t>
      </w:r>
      <w:r>
        <w:rPr>
          <w:rFonts w:ascii="Calibri" w:hAnsi="Calibri"/>
        </w:rPr>
        <w:t>: Free for all licensed EM professionals</w:t>
      </w:r>
    </w:p>
    <w:p w:rsidR="00202F22" w:rsidRPr="0096474F" w:rsidRDefault="00202F22" w:rsidP="00202F22">
      <w:pPr>
        <w:contextualSpacing/>
        <w:rPr>
          <w:rFonts w:ascii="Calibri" w:hAnsi="Calibri"/>
        </w:rPr>
      </w:pPr>
    </w:p>
    <w:p w:rsidR="00202F22" w:rsidRPr="00EE67DB" w:rsidRDefault="00202F22" w:rsidP="00202F22">
      <w:pPr>
        <w:contextualSpacing/>
        <w:rPr>
          <w:rFonts w:ascii="Calibri" w:hAnsi="Calibri"/>
        </w:rPr>
      </w:pPr>
      <w:r>
        <w:rPr>
          <w:rFonts w:ascii="Calibri" w:hAnsi="Calibri"/>
          <w:b/>
          <w:u w:val="single"/>
        </w:rPr>
        <w:t>Webinar</w:t>
      </w:r>
      <w:r w:rsidRPr="00EE67DB">
        <w:rPr>
          <w:rFonts w:ascii="Calibri" w:hAnsi="Calibri"/>
          <w:b/>
          <w:u w:val="single"/>
        </w:rPr>
        <w:t xml:space="preserve"> Overview</w:t>
      </w:r>
      <w:r>
        <w:rPr>
          <w:rFonts w:ascii="Calibri" w:hAnsi="Calibri"/>
          <w:b/>
          <w:u w:val="single"/>
        </w:rPr>
        <w:t xml:space="preserve"> and Objectives</w:t>
      </w:r>
      <w:r w:rsidRPr="00EE67DB">
        <w:rPr>
          <w:rFonts w:ascii="Calibri" w:hAnsi="Calibri"/>
          <w:b/>
        </w:rPr>
        <w:t>:</w:t>
      </w:r>
      <w:r w:rsidRPr="00EE67DB">
        <w:rPr>
          <w:rFonts w:ascii="Calibri" w:hAnsi="Calibri"/>
        </w:rPr>
        <w:t xml:space="preserve"> </w:t>
      </w:r>
    </w:p>
    <w:p w:rsidR="00202F22" w:rsidRDefault="00202F22" w:rsidP="00202F22">
      <w:pPr>
        <w:contextualSpacing/>
        <w:rPr>
          <w:sz w:val="21"/>
          <w:szCs w:val="21"/>
        </w:rPr>
      </w:pPr>
      <w:r w:rsidRPr="009D1886">
        <w:rPr>
          <w:sz w:val="21"/>
          <w:szCs w:val="21"/>
        </w:rPr>
        <w:t>This webinar will delve into the history behind the recent heroin epidemic and how we arrived at the current state. It will discuss particular aspects of Florida and the demographics most heavily affected in our state. We will explore the massive healthcare impact that has occurred from this epidemic. We will focus on treatment priorities not only for the individual practitioner but also for a healthcare system as a whole</w:t>
      </w:r>
      <w:r w:rsidRPr="00707595">
        <w:rPr>
          <w:sz w:val="21"/>
          <w:szCs w:val="21"/>
        </w:rPr>
        <w:t>.</w:t>
      </w:r>
    </w:p>
    <w:p w:rsidR="00202F22" w:rsidRPr="00891F66" w:rsidRDefault="00202F22" w:rsidP="00202F22">
      <w:pPr>
        <w:pStyle w:val="ListParagraph"/>
        <w:numPr>
          <w:ilvl w:val="0"/>
          <w:numId w:val="1"/>
        </w:numPr>
        <w:rPr>
          <w:rFonts w:ascii="Calibri" w:hAnsi="Calibri"/>
          <w:sz w:val="20"/>
        </w:rPr>
      </w:pPr>
      <w:r w:rsidRPr="00891F66">
        <w:rPr>
          <w:rFonts w:ascii="Calibri" w:hAnsi="Calibri"/>
          <w:sz w:val="20"/>
        </w:rPr>
        <w:t>Discuss and describe the current state of the local heroin epidemic and how we got here.</w:t>
      </w:r>
    </w:p>
    <w:p w:rsidR="00202F22" w:rsidRPr="00891F66" w:rsidRDefault="00202F22" w:rsidP="00202F22">
      <w:pPr>
        <w:pStyle w:val="ListParagraph"/>
        <w:numPr>
          <w:ilvl w:val="0"/>
          <w:numId w:val="1"/>
        </w:numPr>
        <w:rPr>
          <w:rFonts w:ascii="Calibri" w:hAnsi="Calibri"/>
          <w:sz w:val="20"/>
        </w:rPr>
      </w:pPr>
      <w:r w:rsidRPr="00891F66">
        <w:rPr>
          <w:rFonts w:ascii="Calibri" w:hAnsi="Calibri"/>
          <w:sz w:val="20"/>
        </w:rPr>
        <w:t>Review and describe the short and long term health effects of heroin.</w:t>
      </w:r>
    </w:p>
    <w:p w:rsidR="00202F22" w:rsidRPr="003C5463" w:rsidRDefault="00202F22" w:rsidP="00202F22">
      <w:pPr>
        <w:pStyle w:val="ListParagraph"/>
        <w:numPr>
          <w:ilvl w:val="0"/>
          <w:numId w:val="1"/>
        </w:numPr>
        <w:rPr>
          <w:rFonts w:ascii="Calibri" w:hAnsi="Calibri"/>
          <w:sz w:val="20"/>
        </w:rPr>
      </w:pPr>
      <w:r w:rsidRPr="00891F66">
        <w:rPr>
          <w:rFonts w:ascii="Calibri" w:hAnsi="Calibri"/>
          <w:sz w:val="20"/>
        </w:rPr>
        <w:t>Describe the healthcare related priorities in combating this epidemic.</w:t>
      </w:r>
    </w:p>
    <w:p w:rsidR="00202F22" w:rsidRDefault="00202F22" w:rsidP="00202F22">
      <w:pPr>
        <w:contextualSpacing/>
        <w:jc w:val="center"/>
        <w:rPr>
          <w:rFonts w:ascii="Calibri" w:eastAsia="Times New Roman" w:hAnsi="Calibri" w:cs="Times New Roman"/>
          <w:sz w:val="20"/>
        </w:rPr>
      </w:pPr>
    </w:p>
    <w:p w:rsidR="00202F22" w:rsidRPr="00EE67DB" w:rsidRDefault="00202F22" w:rsidP="00202F22">
      <w:pPr>
        <w:contextualSpacing/>
        <w:rPr>
          <w:rFonts w:ascii="Calibri" w:hAnsi="Calibri"/>
        </w:rPr>
      </w:pPr>
      <w:r w:rsidRPr="00EE67DB">
        <w:rPr>
          <w:rFonts w:ascii="Calibri" w:hAnsi="Calibri"/>
          <w:b/>
          <w:u w:val="single"/>
        </w:rPr>
        <w:t>Faculty</w:t>
      </w:r>
      <w:r w:rsidRPr="00EE67DB">
        <w:rPr>
          <w:rFonts w:ascii="Calibri" w:hAnsi="Calibri"/>
        </w:rPr>
        <w:t xml:space="preserve"> </w:t>
      </w:r>
    </w:p>
    <w:p w:rsidR="00202F22" w:rsidRPr="00891F66" w:rsidRDefault="00202F22" w:rsidP="00202F22">
      <w:pPr>
        <w:contextualSpacing/>
        <w:rPr>
          <w:b/>
          <w:sz w:val="20"/>
        </w:rPr>
      </w:pPr>
      <w:r w:rsidRPr="00891F66">
        <w:rPr>
          <w:b/>
          <w:sz w:val="20"/>
        </w:rPr>
        <w:t>Josef G. Thundiyil, MD, MPH, FACMT, FACEP</w:t>
      </w:r>
    </w:p>
    <w:p w:rsidR="00202F22" w:rsidRPr="00891F66" w:rsidRDefault="00202F22" w:rsidP="00202F22">
      <w:pPr>
        <w:contextualSpacing/>
        <w:rPr>
          <w:sz w:val="20"/>
        </w:rPr>
      </w:pPr>
      <w:r w:rsidRPr="00891F66">
        <w:rPr>
          <w:sz w:val="20"/>
        </w:rPr>
        <w:t>Associate Residency Director</w:t>
      </w:r>
    </w:p>
    <w:p w:rsidR="00202F22" w:rsidRPr="00891F66" w:rsidRDefault="00202F22" w:rsidP="00202F22">
      <w:pPr>
        <w:contextualSpacing/>
        <w:rPr>
          <w:sz w:val="20"/>
        </w:rPr>
      </w:pPr>
      <w:r w:rsidRPr="00891F66">
        <w:rPr>
          <w:sz w:val="20"/>
        </w:rPr>
        <w:t>Orlando Regional Medical Center</w:t>
      </w:r>
    </w:p>
    <w:p w:rsidR="00202F22" w:rsidRPr="00891F66" w:rsidRDefault="00202F22" w:rsidP="00202F22">
      <w:pPr>
        <w:contextualSpacing/>
        <w:rPr>
          <w:sz w:val="20"/>
        </w:rPr>
      </w:pPr>
      <w:r w:rsidRPr="00891F66">
        <w:rPr>
          <w:sz w:val="20"/>
        </w:rPr>
        <w:t>Associate Professor of Emergency Medicine</w:t>
      </w:r>
    </w:p>
    <w:p w:rsidR="00202F22" w:rsidRPr="00891F66" w:rsidRDefault="00202F22" w:rsidP="00202F22">
      <w:pPr>
        <w:contextualSpacing/>
        <w:rPr>
          <w:sz w:val="20"/>
        </w:rPr>
      </w:pPr>
      <w:r w:rsidRPr="00891F66">
        <w:rPr>
          <w:sz w:val="20"/>
        </w:rPr>
        <w:t>University of Central Florida, College of Medicine</w:t>
      </w:r>
    </w:p>
    <w:p w:rsidR="00202F22" w:rsidRDefault="00202F22" w:rsidP="00202F22">
      <w:pPr>
        <w:contextualSpacing/>
        <w:jc w:val="center"/>
        <w:rPr>
          <w:rFonts w:ascii="Calibri" w:hAnsi="Calibri"/>
          <w:b/>
          <w:sz w:val="20"/>
          <w:szCs w:val="20"/>
        </w:rPr>
      </w:pPr>
    </w:p>
    <w:p w:rsidR="00202F22" w:rsidRPr="00322809" w:rsidRDefault="00202F22" w:rsidP="00202F22">
      <w:pPr>
        <w:contextualSpacing/>
        <w:rPr>
          <w:rFonts w:ascii="Calibri" w:hAnsi="Calibri"/>
          <w:sz w:val="20"/>
          <w:szCs w:val="20"/>
          <w:u w:val="single"/>
        </w:rPr>
      </w:pPr>
      <w:r w:rsidRPr="00322809">
        <w:rPr>
          <w:rFonts w:ascii="Calibri" w:hAnsi="Calibri"/>
          <w:b/>
          <w:sz w:val="20"/>
          <w:szCs w:val="20"/>
          <w:u w:val="single"/>
        </w:rPr>
        <w:lastRenderedPageBreak/>
        <w:t>Disclosure of Significant Relationships with Relevant Commercial Companies/Organizations from Individuals in Control of CME Content</w:t>
      </w:r>
      <w:r w:rsidRPr="00322809">
        <w:rPr>
          <w:rFonts w:ascii="Calibri" w:hAnsi="Calibri"/>
          <w:sz w:val="20"/>
          <w:szCs w:val="20"/>
          <w:u w:val="single"/>
        </w:rPr>
        <w:t xml:space="preserve"> </w:t>
      </w:r>
    </w:p>
    <w:p w:rsidR="00202F22" w:rsidRPr="00EE67DB" w:rsidRDefault="00202F22" w:rsidP="00202F22">
      <w:pPr>
        <w:pStyle w:val="ListParagraph"/>
        <w:ind w:left="0"/>
        <w:rPr>
          <w:rFonts w:ascii="Calibri" w:hAnsi="Calibri"/>
          <w:color w:val="000000"/>
          <w:sz w:val="20"/>
          <w:szCs w:val="20"/>
        </w:rPr>
      </w:pPr>
      <w:r w:rsidRPr="00EE67DB">
        <w:rPr>
          <w:rFonts w:ascii="Calibri" w:hAnsi="Calibri"/>
          <w:sz w:val="20"/>
          <w:szCs w:val="20"/>
        </w:rPr>
        <w:t xml:space="preserve">In accordance with the Accreditation Council for Continuing Medical Education’s Standards of Commercial Support and the Emergency Medicine Learning &amp; Resource Center policy, </w:t>
      </w:r>
      <w:r w:rsidRPr="00EE67DB">
        <w:rPr>
          <w:rFonts w:ascii="Calibri" w:hAnsi="Calibri"/>
          <w:color w:val="000000"/>
          <w:sz w:val="20"/>
          <w:szCs w:val="20"/>
        </w:rPr>
        <w:t xml:space="preserve">all individuals with control over CME content (including but not limited to staff, planners, reviewers, and faculty) must disclose whether or not they have any relevant financial relationship(s) to learners prior to the start of the activity. </w:t>
      </w:r>
    </w:p>
    <w:p w:rsidR="00202F22" w:rsidRPr="00EE67DB" w:rsidRDefault="00202F22" w:rsidP="00202F22">
      <w:pPr>
        <w:contextualSpacing/>
        <w:rPr>
          <w:rFonts w:ascii="Calibri" w:hAnsi="Calibri"/>
          <w:sz w:val="20"/>
          <w:szCs w:val="20"/>
        </w:rPr>
      </w:pPr>
      <w:r w:rsidRPr="00EE67DB">
        <w:rPr>
          <w:rFonts w:ascii="Calibri" w:hAnsi="Calibri"/>
          <w:sz w:val="20"/>
          <w:szCs w:val="20"/>
        </w:rPr>
        <w:t>Disclosure of a relationship is not intended to suggest or condone bias in any presentation, but is made to provide participants with information that might be of potential importance to their evaluation of a presentation.</w:t>
      </w:r>
    </w:p>
    <w:p w:rsidR="00202F22" w:rsidRPr="00907FD4" w:rsidRDefault="00202F22" w:rsidP="00202F22">
      <w:pPr>
        <w:jc w:val="center"/>
        <w:rPr>
          <w:rFonts w:ascii="Calibri" w:hAnsi="Calibri"/>
          <w:sz w:val="8"/>
        </w:rPr>
      </w:pPr>
    </w:p>
    <w:p w:rsidR="00202F22" w:rsidRPr="00322809" w:rsidRDefault="00202F22" w:rsidP="00202F22">
      <w:pPr>
        <w:jc w:val="center"/>
        <w:rPr>
          <w:rFonts w:ascii="Calibri" w:hAnsi="Calibri"/>
          <w:b/>
        </w:rPr>
      </w:pPr>
      <w:r w:rsidRPr="00322809">
        <w:rPr>
          <w:rFonts w:ascii="Calibri" w:hAnsi="Calibri"/>
          <w:b/>
          <w:sz w:val="20"/>
        </w:rPr>
        <w:t>All individuals with control over CME content have no significant financial interests or relationships to disclose</w:t>
      </w:r>
      <w:r w:rsidRPr="00322809">
        <w:rPr>
          <w:rFonts w:ascii="Calibri" w:hAnsi="Calibri"/>
          <w:b/>
        </w:rPr>
        <w:t>.</w:t>
      </w:r>
    </w:p>
    <w:p w:rsidR="00202F22" w:rsidRPr="00EE67DB" w:rsidRDefault="00202F22" w:rsidP="00202F22">
      <w:pPr>
        <w:rPr>
          <w:rFonts w:ascii="Calibri" w:hAnsi="Calibri"/>
          <w:sz w:val="20"/>
          <w:szCs w:val="20"/>
        </w:rPr>
      </w:pPr>
      <w:r w:rsidRPr="00322809">
        <w:rPr>
          <w:rFonts w:ascii="Calibri" w:hAnsi="Calibri"/>
          <w:b/>
          <w:sz w:val="20"/>
          <w:szCs w:val="20"/>
          <w:u w:val="single"/>
        </w:rPr>
        <w:t>Disclosure of Commercial support</w:t>
      </w:r>
      <w:r w:rsidRPr="00EE67DB">
        <w:rPr>
          <w:rFonts w:ascii="Calibri" w:hAnsi="Calibri"/>
          <w:b/>
          <w:sz w:val="20"/>
          <w:szCs w:val="20"/>
        </w:rPr>
        <w:t>:</w:t>
      </w:r>
    </w:p>
    <w:p w:rsidR="00202F22" w:rsidRDefault="00202F22" w:rsidP="00202F22">
      <w:pPr>
        <w:rPr>
          <w:rFonts w:ascii="Calibri" w:hAnsi="Calibri"/>
          <w:sz w:val="20"/>
          <w:szCs w:val="20"/>
        </w:rPr>
      </w:pPr>
      <w:r w:rsidRPr="00EE67DB">
        <w:rPr>
          <w:rFonts w:ascii="Calibri" w:hAnsi="Calibri"/>
          <w:sz w:val="20"/>
          <w:szCs w:val="20"/>
        </w:rPr>
        <w:t>In accordance with the Accreditation Council for Continuing Medical Education’s Standards of Commercial Support and the Emergency Medicine Learning &amp; Resource Center policy</w:t>
      </w:r>
      <w:r w:rsidRPr="00EE67DB">
        <w:rPr>
          <w:rFonts w:ascii="Calibri" w:hAnsi="Calibri"/>
          <w:color w:val="000000"/>
          <w:sz w:val="20"/>
          <w:szCs w:val="20"/>
        </w:rPr>
        <w:t xml:space="preserve">, the </w:t>
      </w:r>
      <w:r w:rsidRPr="00EE67DB">
        <w:rPr>
          <w:rFonts w:ascii="Calibri" w:hAnsi="Calibri"/>
          <w:sz w:val="20"/>
          <w:szCs w:val="20"/>
        </w:rPr>
        <w:t>source of all support from commercial interests (including “in-kind” support), or lack of commercial support, must also be disclosed to learners prior to the start of the activity.</w:t>
      </w:r>
    </w:p>
    <w:p w:rsidR="00202F22" w:rsidRPr="00EE67DB" w:rsidRDefault="00202F22" w:rsidP="00202F22">
      <w:pPr>
        <w:jc w:val="center"/>
        <w:rPr>
          <w:rFonts w:ascii="Calibri" w:hAnsi="Calibri"/>
          <w:b/>
          <w:smallCaps/>
          <w:sz w:val="20"/>
          <w:szCs w:val="20"/>
        </w:rPr>
      </w:pPr>
      <w:r w:rsidRPr="00EE67DB">
        <w:rPr>
          <w:rFonts w:ascii="Calibri" w:hAnsi="Calibri"/>
          <w:b/>
          <w:smallCaps/>
          <w:sz w:val="20"/>
          <w:szCs w:val="20"/>
        </w:rPr>
        <w:t>No commercial support was received.</w:t>
      </w:r>
    </w:p>
    <w:p w:rsidR="00202F22" w:rsidRPr="00EE67DB" w:rsidRDefault="00202F22" w:rsidP="00202F22">
      <w:pPr>
        <w:contextualSpacing/>
        <w:rPr>
          <w:rFonts w:ascii="Calibri" w:hAnsi="Calibri"/>
        </w:rPr>
      </w:pPr>
      <w:r>
        <w:rPr>
          <w:rFonts w:ascii="Calibri" w:hAnsi="Calibri"/>
          <w:b/>
          <w:u w:val="single"/>
        </w:rPr>
        <w:t>Continuing Education</w:t>
      </w:r>
      <w:r w:rsidRPr="00EE67DB">
        <w:rPr>
          <w:rFonts w:ascii="Calibri" w:hAnsi="Calibri"/>
          <w:b/>
          <w:u w:val="single"/>
        </w:rPr>
        <w:t xml:space="preserve"> Information</w:t>
      </w:r>
      <w:r w:rsidRPr="00EE67DB">
        <w:rPr>
          <w:rFonts w:ascii="Calibri" w:hAnsi="Calibri"/>
          <w:b/>
        </w:rPr>
        <w:t>:</w:t>
      </w:r>
    </w:p>
    <w:p w:rsidR="00202F22" w:rsidRPr="007C4293" w:rsidRDefault="004331F7" w:rsidP="00202F22">
      <w:pPr>
        <w:contextualSpacing/>
        <w:rPr>
          <w:rFonts w:ascii="Calibri" w:hAnsi="Calibri"/>
          <w:sz w:val="20"/>
          <w:szCs w:val="20"/>
        </w:rPr>
      </w:pPr>
      <w:r>
        <w:rPr>
          <w:rFonts w:ascii="Calibri" w:hAnsi="Calibri"/>
          <w:sz w:val="20"/>
          <w:szCs w:val="20"/>
        </w:rPr>
        <w:t>Playback</w:t>
      </w:r>
      <w:r w:rsidR="00202F22">
        <w:rPr>
          <w:rFonts w:ascii="Calibri" w:hAnsi="Calibri"/>
          <w:sz w:val="20"/>
          <w:szCs w:val="20"/>
        </w:rPr>
        <w:t xml:space="preserve"> Webinar </w:t>
      </w:r>
      <w:r>
        <w:rPr>
          <w:rFonts w:ascii="Calibri" w:hAnsi="Calibri"/>
          <w:sz w:val="20"/>
          <w:szCs w:val="20"/>
        </w:rPr>
        <w:t>Presentation</w:t>
      </w:r>
    </w:p>
    <w:p w:rsidR="004331F7" w:rsidRPr="00E33881" w:rsidRDefault="004331F7" w:rsidP="004331F7">
      <w:pPr>
        <w:contextualSpacing/>
        <w:rPr>
          <w:rFonts w:ascii="Calibri" w:hAnsi="Calibri"/>
          <w:sz w:val="20"/>
          <w:szCs w:val="20"/>
        </w:rPr>
      </w:pPr>
      <w:r w:rsidRPr="00E33881">
        <w:rPr>
          <w:rFonts w:ascii="Calibri" w:hAnsi="Calibri"/>
          <w:b/>
          <w:sz w:val="20"/>
          <w:szCs w:val="20"/>
        </w:rPr>
        <w:t>ACCME</w:t>
      </w:r>
      <w:r w:rsidRPr="00E33881">
        <w:rPr>
          <w:rFonts w:ascii="Calibri" w:hAnsi="Calibri"/>
          <w:sz w:val="20"/>
          <w:szCs w:val="20"/>
        </w:rPr>
        <w:t xml:space="preserve"> - The Emergency Medicine Learning and Resource Center (EMLRC) is accredited by the Accreditation Council for Continuing Medical Education to provide continuing medical education for physicians. EMLRC designates this enduring material for a maximum of </w:t>
      </w:r>
      <w:r>
        <w:rPr>
          <w:rFonts w:ascii="Calibri" w:hAnsi="Calibri"/>
          <w:sz w:val="20"/>
          <w:szCs w:val="20"/>
          <w:u w:val="single"/>
        </w:rPr>
        <w:t>1.0</w:t>
      </w:r>
      <w:r w:rsidRPr="00E33881">
        <w:rPr>
          <w:rFonts w:ascii="Calibri" w:hAnsi="Calibri"/>
          <w:sz w:val="20"/>
          <w:szCs w:val="20"/>
        </w:rPr>
        <w:t xml:space="preserve"> </w:t>
      </w:r>
      <w:r w:rsidRPr="00E33881">
        <w:rPr>
          <w:rFonts w:ascii="Calibri" w:hAnsi="Calibri"/>
          <w:i/>
          <w:sz w:val="20"/>
          <w:szCs w:val="20"/>
        </w:rPr>
        <w:t>AMA PRA Category 1 Credit</w:t>
      </w:r>
      <w:r w:rsidRPr="00E33881">
        <w:rPr>
          <w:rFonts w:ascii="Calibri" w:hAnsi="Calibri"/>
          <w:b/>
          <w:sz w:val="20"/>
          <w:szCs w:val="20"/>
        </w:rPr>
        <w:sym w:font="Symbol" w:char="00E4"/>
      </w:r>
      <w:r w:rsidRPr="00E33881">
        <w:rPr>
          <w:rFonts w:ascii="Calibri" w:hAnsi="Calibri"/>
          <w:sz w:val="20"/>
          <w:szCs w:val="20"/>
        </w:rPr>
        <w:t xml:space="preserve">. Physicians should claim only the credit commensurate with the extent of their participation in the activity. </w:t>
      </w:r>
    </w:p>
    <w:p w:rsidR="004331F7" w:rsidRPr="00E33881" w:rsidRDefault="004331F7" w:rsidP="004331F7">
      <w:pPr>
        <w:contextualSpacing/>
        <w:rPr>
          <w:rFonts w:ascii="Calibri" w:hAnsi="Calibri"/>
          <w:sz w:val="20"/>
          <w:szCs w:val="20"/>
        </w:rPr>
      </w:pPr>
      <w:r w:rsidRPr="00E33881">
        <w:rPr>
          <w:rFonts w:ascii="Calibri" w:hAnsi="Calibri"/>
          <w:b/>
          <w:sz w:val="20"/>
          <w:szCs w:val="20"/>
        </w:rPr>
        <w:t>FBON</w:t>
      </w:r>
      <w:r w:rsidRPr="00E33881">
        <w:rPr>
          <w:rFonts w:ascii="Calibri" w:hAnsi="Calibri"/>
          <w:sz w:val="20"/>
          <w:szCs w:val="20"/>
        </w:rPr>
        <w:t xml:space="preserve"> - The Emergency Medicine Learning and Resource Center is approved as a provider of nursing education by the Florida Board of Nursing, Provider #2731. Up to </w:t>
      </w:r>
      <w:r>
        <w:rPr>
          <w:rFonts w:ascii="Calibri" w:hAnsi="Calibri"/>
          <w:sz w:val="20"/>
          <w:szCs w:val="20"/>
          <w:u w:val="single"/>
        </w:rPr>
        <w:t>1.0</w:t>
      </w:r>
      <w:r w:rsidRPr="00E33881">
        <w:rPr>
          <w:rFonts w:ascii="Calibri" w:hAnsi="Calibri"/>
          <w:sz w:val="20"/>
          <w:szCs w:val="20"/>
        </w:rPr>
        <w:t xml:space="preserve"> nursing contact hours will be provided by the EMLRC.</w:t>
      </w:r>
    </w:p>
    <w:p w:rsidR="004331F7" w:rsidRPr="00C17E89" w:rsidRDefault="004331F7" w:rsidP="004331F7">
      <w:pPr>
        <w:contextualSpacing/>
        <w:rPr>
          <w:rFonts w:ascii="Calibri" w:hAnsi="Calibri"/>
          <w:sz w:val="20"/>
          <w:szCs w:val="20"/>
        </w:rPr>
      </w:pPr>
      <w:r w:rsidRPr="00E33881">
        <w:rPr>
          <w:rFonts w:ascii="Calibri" w:hAnsi="Calibri"/>
          <w:b/>
          <w:sz w:val="20"/>
          <w:szCs w:val="20"/>
        </w:rPr>
        <w:t>FEMS</w:t>
      </w:r>
      <w:r w:rsidRPr="00E33881">
        <w:rPr>
          <w:rFonts w:ascii="Calibri" w:hAnsi="Calibri"/>
          <w:sz w:val="20"/>
          <w:szCs w:val="20"/>
        </w:rPr>
        <w:t xml:space="preserve"> - The Emergency Medicine Learning and Resource Center is approved as a provider of continuing medical education by the Florida EMS Bureau; Provider #50715. This course has been approved by the Florida Bureau of EMS for </w:t>
      </w:r>
      <w:r>
        <w:rPr>
          <w:rFonts w:ascii="Calibri" w:hAnsi="Calibri"/>
          <w:sz w:val="20"/>
          <w:szCs w:val="20"/>
          <w:u w:val="single"/>
        </w:rPr>
        <w:t>1.0</w:t>
      </w:r>
      <w:r w:rsidRPr="00E33881">
        <w:rPr>
          <w:rFonts w:ascii="Calibri" w:hAnsi="Calibri"/>
          <w:sz w:val="20"/>
          <w:szCs w:val="20"/>
        </w:rPr>
        <w:t xml:space="preserve"> hour of continuing education credit; Approval Code</w:t>
      </w:r>
      <w:r>
        <w:rPr>
          <w:rFonts w:ascii="Calibri" w:hAnsi="Calibri"/>
          <w:sz w:val="20"/>
          <w:szCs w:val="20"/>
        </w:rPr>
        <w:t xml:space="preserve"> #20-548003.</w:t>
      </w:r>
    </w:p>
    <w:p w:rsidR="004331F7" w:rsidRDefault="004331F7" w:rsidP="004331F7">
      <w:pPr>
        <w:contextualSpacing/>
        <w:rPr>
          <w:rFonts w:ascii="Calibri" w:hAnsi="Calibri"/>
          <w:b/>
          <w:sz w:val="20"/>
          <w:szCs w:val="20"/>
        </w:rPr>
      </w:pPr>
      <w:r>
        <w:rPr>
          <w:rFonts w:ascii="Calibri" w:hAnsi="Calibri"/>
          <w:b/>
          <w:sz w:val="20"/>
          <w:szCs w:val="20"/>
        </w:rPr>
        <w:t xml:space="preserve">FPA - </w:t>
      </w:r>
      <w:r w:rsidRPr="00AF5521">
        <w:rPr>
          <w:rFonts w:ascii="Calibri" w:hAnsi="Calibri"/>
          <w:sz w:val="20"/>
          <w:szCs w:val="20"/>
        </w:rPr>
        <w:t>The Emergency Medicine Learning and Resource Center is approved as a provider of continuing medical education by the</w:t>
      </w:r>
      <w:r>
        <w:rPr>
          <w:rFonts w:ascii="Calibri" w:hAnsi="Calibri"/>
          <w:sz w:val="20"/>
          <w:szCs w:val="20"/>
        </w:rPr>
        <w:t xml:space="preserve"> Board of</w:t>
      </w:r>
      <w:r w:rsidRPr="00AF5521">
        <w:rPr>
          <w:rFonts w:ascii="Calibri" w:hAnsi="Calibri"/>
          <w:sz w:val="20"/>
          <w:szCs w:val="20"/>
        </w:rPr>
        <w:t xml:space="preserve"> Florida</w:t>
      </w:r>
      <w:r>
        <w:rPr>
          <w:rFonts w:ascii="Calibri" w:hAnsi="Calibri"/>
          <w:sz w:val="20"/>
          <w:szCs w:val="20"/>
        </w:rPr>
        <w:t xml:space="preserve"> Physician Assistants</w:t>
      </w:r>
      <w:r w:rsidRPr="00AF5521">
        <w:rPr>
          <w:rFonts w:ascii="Calibri" w:hAnsi="Calibri"/>
          <w:sz w:val="20"/>
          <w:szCs w:val="20"/>
        </w:rPr>
        <w:t>; Provider #50715</w:t>
      </w:r>
      <w:r>
        <w:rPr>
          <w:rFonts w:ascii="Calibri" w:hAnsi="Calibri"/>
          <w:sz w:val="20"/>
          <w:szCs w:val="20"/>
        </w:rPr>
        <w:t xml:space="preserve">. </w:t>
      </w:r>
      <w:r w:rsidRPr="00452158">
        <w:rPr>
          <w:rFonts w:ascii="Calibri" w:hAnsi="Calibri"/>
          <w:sz w:val="20"/>
          <w:szCs w:val="20"/>
        </w:rPr>
        <w:t xml:space="preserve">AAPA accepts certificates of participation for educational activities certified for </w:t>
      </w:r>
      <w:r w:rsidRPr="00452158">
        <w:rPr>
          <w:rFonts w:ascii="Calibri" w:hAnsi="Calibri"/>
          <w:i/>
          <w:sz w:val="20"/>
          <w:szCs w:val="20"/>
        </w:rPr>
        <w:t>AMA PRA Category 1 Credit</w:t>
      </w:r>
      <w:r w:rsidRPr="00452158">
        <w:rPr>
          <w:rFonts w:ascii="Calibri" w:hAnsi="Calibri"/>
          <w:b/>
          <w:sz w:val="20"/>
          <w:szCs w:val="20"/>
        </w:rPr>
        <w:t>™</w:t>
      </w:r>
      <w:r w:rsidRPr="00452158">
        <w:rPr>
          <w:rFonts w:ascii="Calibri" w:hAnsi="Calibri"/>
          <w:sz w:val="20"/>
          <w:szCs w:val="20"/>
        </w:rPr>
        <w:t xml:space="preserve"> from organizations accredited by the </w:t>
      </w:r>
      <w:r w:rsidRPr="00452158">
        <w:rPr>
          <w:rFonts w:ascii="Calibri" w:hAnsi="Calibri"/>
          <w:sz w:val="20"/>
          <w:szCs w:val="20"/>
        </w:rPr>
        <w:lastRenderedPageBreak/>
        <w:t xml:space="preserve">ACCME or a recognized state medical society. Physician assistants may receive a maximum of </w:t>
      </w:r>
      <w:r>
        <w:rPr>
          <w:rFonts w:ascii="Calibri" w:hAnsi="Calibri"/>
          <w:sz w:val="20"/>
          <w:szCs w:val="20"/>
          <w:u w:val="single"/>
        </w:rPr>
        <w:t>1</w:t>
      </w:r>
      <w:r w:rsidRPr="00452158">
        <w:rPr>
          <w:rFonts w:ascii="Calibri" w:hAnsi="Calibri"/>
          <w:sz w:val="20"/>
          <w:szCs w:val="20"/>
          <w:u w:val="single"/>
        </w:rPr>
        <w:t>.0</w:t>
      </w:r>
      <w:r w:rsidRPr="00452158">
        <w:rPr>
          <w:rFonts w:ascii="Calibri" w:hAnsi="Calibri"/>
          <w:sz w:val="20"/>
          <w:szCs w:val="20"/>
        </w:rPr>
        <w:t xml:space="preserve"> hours of Category 1 credit for completing this program</w:t>
      </w:r>
    </w:p>
    <w:p w:rsidR="00202F22" w:rsidRDefault="004331F7" w:rsidP="004331F7">
      <w:pPr>
        <w:contextualSpacing/>
        <w:rPr>
          <w:rFonts w:ascii="Calibri" w:hAnsi="Calibri"/>
          <w:sz w:val="20"/>
          <w:szCs w:val="20"/>
        </w:rPr>
      </w:pPr>
      <w:r>
        <w:rPr>
          <w:rFonts w:ascii="Calibri" w:hAnsi="Calibri"/>
          <w:b/>
          <w:sz w:val="20"/>
          <w:szCs w:val="20"/>
        </w:rPr>
        <w:t>CAPCE</w:t>
      </w:r>
      <w:r w:rsidRPr="00E33881">
        <w:rPr>
          <w:rFonts w:ascii="Calibri" w:hAnsi="Calibri"/>
          <w:sz w:val="20"/>
          <w:szCs w:val="20"/>
        </w:rPr>
        <w:t xml:space="preserve"> - The following continuing education activity is approved by The Emergency Medicine Learning and Resource Center, a </w:t>
      </w:r>
      <w:r w:rsidRPr="007B6910">
        <w:rPr>
          <w:rFonts w:ascii="Calibri" w:hAnsi="Calibri"/>
          <w:sz w:val="20"/>
          <w:szCs w:val="20"/>
        </w:rPr>
        <w:t>Commission on Accreditation for Pre-Hospital Continuing Education (CAPCE)</w:t>
      </w:r>
      <w:r w:rsidRPr="00E33881">
        <w:rPr>
          <w:rFonts w:ascii="Calibri" w:hAnsi="Calibri"/>
          <w:sz w:val="20"/>
          <w:szCs w:val="20"/>
        </w:rPr>
        <w:t xml:space="preserve"> accredited organization, Provider #EMLRC0003. Activity#</w:t>
      </w:r>
      <w:r w:rsidRPr="00E33881">
        <w:rPr>
          <w:rFonts w:ascii="Calibri" w:hAnsi="Calibri"/>
          <w:b/>
          <w:i/>
          <w:sz w:val="20"/>
          <w:szCs w:val="20"/>
        </w:rPr>
        <w:t xml:space="preserve"> </w:t>
      </w:r>
      <w:r w:rsidRPr="00E33881">
        <w:rPr>
          <w:rFonts w:ascii="Calibri" w:hAnsi="Calibri"/>
          <w:sz w:val="20"/>
          <w:szCs w:val="20"/>
        </w:rPr>
        <w:t>1</w:t>
      </w:r>
      <w:r>
        <w:rPr>
          <w:rFonts w:ascii="Calibri" w:hAnsi="Calibri"/>
          <w:sz w:val="20"/>
          <w:szCs w:val="20"/>
        </w:rPr>
        <w:t>6</w:t>
      </w:r>
      <w:r w:rsidRPr="00E33881">
        <w:rPr>
          <w:rFonts w:ascii="Calibri" w:hAnsi="Calibri"/>
          <w:sz w:val="20"/>
          <w:szCs w:val="20"/>
        </w:rPr>
        <w:t>-EMLRC-F3-00</w:t>
      </w:r>
      <w:r>
        <w:rPr>
          <w:rFonts w:ascii="Calibri" w:hAnsi="Calibri"/>
          <w:sz w:val="20"/>
          <w:szCs w:val="20"/>
        </w:rPr>
        <w:t>01</w:t>
      </w:r>
      <w:r w:rsidRPr="00E33881">
        <w:rPr>
          <w:rFonts w:ascii="Calibri" w:hAnsi="Calibri"/>
          <w:sz w:val="20"/>
          <w:szCs w:val="20"/>
        </w:rPr>
        <w:t xml:space="preserve"> is approved for </w:t>
      </w:r>
      <w:r>
        <w:rPr>
          <w:rFonts w:ascii="Calibri" w:hAnsi="Calibri"/>
          <w:sz w:val="20"/>
          <w:szCs w:val="20"/>
          <w:u w:val="single"/>
        </w:rPr>
        <w:t>1.0</w:t>
      </w:r>
      <w:r w:rsidRPr="00E33881">
        <w:rPr>
          <w:rFonts w:ascii="Calibri" w:hAnsi="Calibri"/>
          <w:sz w:val="20"/>
          <w:szCs w:val="20"/>
        </w:rPr>
        <w:t xml:space="preserve"> hour of continuing education credit.</w:t>
      </w:r>
    </w:p>
    <w:p w:rsidR="004331F7" w:rsidRDefault="004331F7" w:rsidP="004331F7">
      <w:pPr>
        <w:contextualSpacing/>
        <w:rPr>
          <w:rFonts w:ascii="Calibri" w:hAnsi="Calibri"/>
          <w:b/>
          <w:sz w:val="20"/>
          <w:szCs w:val="20"/>
          <w:u w:val="single"/>
        </w:rPr>
      </w:pPr>
    </w:p>
    <w:p w:rsidR="00202F22" w:rsidRPr="00EE67DB" w:rsidRDefault="00202F22" w:rsidP="00202F22">
      <w:pPr>
        <w:contextualSpacing/>
        <w:rPr>
          <w:rFonts w:ascii="Calibri" w:hAnsi="Calibri"/>
          <w:sz w:val="20"/>
          <w:szCs w:val="20"/>
        </w:rPr>
      </w:pPr>
      <w:r>
        <w:rPr>
          <w:rFonts w:ascii="Calibri" w:hAnsi="Calibri"/>
          <w:b/>
          <w:sz w:val="20"/>
          <w:szCs w:val="20"/>
          <w:u w:val="single"/>
        </w:rPr>
        <w:t>Method of Participation/</w:t>
      </w:r>
      <w:r w:rsidRPr="00EE67DB">
        <w:rPr>
          <w:rFonts w:ascii="Calibri" w:hAnsi="Calibri"/>
          <w:b/>
          <w:sz w:val="20"/>
          <w:szCs w:val="20"/>
          <w:u w:val="single"/>
        </w:rPr>
        <w:t>How to Claim your C</w:t>
      </w:r>
      <w:r>
        <w:rPr>
          <w:rFonts w:ascii="Calibri" w:hAnsi="Calibri"/>
          <w:b/>
          <w:sz w:val="20"/>
          <w:szCs w:val="20"/>
          <w:u w:val="single"/>
        </w:rPr>
        <w:t>E Credit</w:t>
      </w:r>
      <w:r w:rsidRPr="00EE67DB">
        <w:rPr>
          <w:rFonts w:ascii="Calibri" w:hAnsi="Calibri"/>
          <w:b/>
          <w:sz w:val="20"/>
          <w:szCs w:val="20"/>
        </w:rPr>
        <w:t>:</w:t>
      </w:r>
    </w:p>
    <w:p w:rsidR="00202F22" w:rsidRPr="00EE67DB" w:rsidRDefault="00202F22" w:rsidP="00202F22">
      <w:pPr>
        <w:contextualSpacing/>
        <w:rPr>
          <w:rFonts w:ascii="Calibri" w:hAnsi="Calibri"/>
          <w:sz w:val="20"/>
          <w:szCs w:val="20"/>
        </w:rPr>
      </w:pPr>
      <w:r w:rsidRPr="00EE67DB">
        <w:rPr>
          <w:rFonts w:ascii="Calibri" w:hAnsi="Calibri"/>
          <w:sz w:val="20"/>
          <w:szCs w:val="20"/>
        </w:rPr>
        <w:t xml:space="preserve">In order to </w:t>
      </w:r>
      <w:r>
        <w:rPr>
          <w:rFonts w:ascii="Calibri" w:hAnsi="Calibri"/>
          <w:sz w:val="20"/>
          <w:szCs w:val="20"/>
        </w:rPr>
        <w:t>rec</w:t>
      </w:r>
      <w:r w:rsidRPr="00322809">
        <w:rPr>
          <w:rFonts w:ascii="Calibri" w:hAnsi="Calibri"/>
          <w:sz w:val="20"/>
          <w:szCs w:val="20"/>
        </w:rPr>
        <w:t>eive continuing education credit, you must:</w:t>
      </w:r>
      <w:r>
        <w:rPr>
          <w:rFonts w:ascii="Calibri" w:hAnsi="Calibri"/>
          <w:sz w:val="20"/>
          <w:szCs w:val="20"/>
        </w:rPr>
        <w:t xml:space="preserve"> complete the pretest for</w:t>
      </w:r>
      <w:r w:rsidRPr="00322809">
        <w:rPr>
          <w:rFonts w:ascii="Calibri" w:hAnsi="Calibri"/>
          <w:sz w:val="20"/>
          <w:szCs w:val="20"/>
        </w:rPr>
        <w:t xml:space="preserve"> </w:t>
      </w:r>
      <w:r w:rsidRPr="00891F66">
        <w:rPr>
          <w:rFonts w:ascii="Calibri" w:hAnsi="Calibri"/>
          <w:i/>
          <w:sz w:val="20"/>
          <w:szCs w:val="20"/>
        </w:rPr>
        <w:t>The New Heroin Epidemic</w:t>
      </w:r>
      <w:r>
        <w:rPr>
          <w:rFonts w:ascii="Calibri" w:hAnsi="Calibri"/>
          <w:i/>
          <w:sz w:val="20"/>
          <w:szCs w:val="20"/>
        </w:rPr>
        <w:t xml:space="preserve"> </w:t>
      </w:r>
      <w:r>
        <w:rPr>
          <w:rFonts w:ascii="Calibri" w:hAnsi="Calibri"/>
          <w:sz w:val="20"/>
          <w:szCs w:val="20"/>
        </w:rPr>
        <w:t>presentation</w:t>
      </w:r>
      <w:r w:rsidRPr="00322809">
        <w:rPr>
          <w:rFonts w:ascii="Calibri" w:hAnsi="Calibri"/>
          <w:sz w:val="20"/>
          <w:szCs w:val="20"/>
        </w:rPr>
        <w:t xml:space="preserve">, view the webinar presentation, </w:t>
      </w:r>
      <w:r>
        <w:rPr>
          <w:rFonts w:ascii="Calibri" w:hAnsi="Calibri"/>
          <w:sz w:val="20"/>
          <w:szCs w:val="20"/>
        </w:rPr>
        <w:t>and complete</w:t>
      </w:r>
      <w:r w:rsidRPr="00322809">
        <w:rPr>
          <w:rFonts w:ascii="Calibri" w:hAnsi="Calibri"/>
          <w:sz w:val="20"/>
          <w:szCs w:val="20"/>
        </w:rPr>
        <w:t xml:space="preserve"> </w:t>
      </w:r>
      <w:r>
        <w:rPr>
          <w:rFonts w:ascii="Calibri" w:hAnsi="Calibri"/>
          <w:sz w:val="20"/>
          <w:szCs w:val="20"/>
        </w:rPr>
        <w:t xml:space="preserve">both </w:t>
      </w:r>
      <w:r w:rsidRPr="00891F66">
        <w:rPr>
          <w:rFonts w:ascii="Calibri" w:hAnsi="Calibri"/>
          <w:i/>
          <w:sz w:val="20"/>
          <w:szCs w:val="20"/>
        </w:rPr>
        <w:t>The New Heroin Epidemic</w:t>
      </w:r>
      <w:r>
        <w:rPr>
          <w:rFonts w:ascii="Calibri" w:hAnsi="Calibri"/>
          <w:i/>
          <w:sz w:val="20"/>
          <w:szCs w:val="20"/>
        </w:rPr>
        <w:t xml:space="preserve"> </w:t>
      </w:r>
      <w:r>
        <w:rPr>
          <w:rFonts w:ascii="Calibri" w:hAnsi="Calibri"/>
          <w:sz w:val="20"/>
          <w:szCs w:val="20"/>
        </w:rPr>
        <w:t>posttest, and overall course evaluation</w:t>
      </w:r>
      <w:r w:rsidRPr="00EE67DB">
        <w:rPr>
          <w:rFonts w:ascii="Calibri" w:hAnsi="Calibri"/>
          <w:sz w:val="20"/>
          <w:szCs w:val="20"/>
        </w:rPr>
        <w:t>. You must</w:t>
      </w:r>
      <w:r>
        <w:rPr>
          <w:rFonts w:ascii="Calibri" w:hAnsi="Calibri"/>
          <w:sz w:val="20"/>
          <w:szCs w:val="20"/>
        </w:rPr>
        <w:t xml:space="preserve"> watch a minimum of 45 minutes of the 60 minute presentation and</w:t>
      </w:r>
      <w:r w:rsidRPr="00EE67DB">
        <w:rPr>
          <w:rFonts w:ascii="Calibri" w:hAnsi="Calibri"/>
          <w:sz w:val="20"/>
          <w:szCs w:val="20"/>
        </w:rPr>
        <w:t xml:space="preserve"> earn a minimum of </w:t>
      </w:r>
      <w:r>
        <w:rPr>
          <w:rFonts w:ascii="Calibri" w:hAnsi="Calibri"/>
          <w:sz w:val="20"/>
          <w:szCs w:val="20"/>
        </w:rPr>
        <w:t>67</w:t>
      </w:r>
      <w:r w:rsidRPr="00EE67DB">
        <w:rPr>
          <w:rFonts w:ascii="Calibri" w:hAnsi="Calibri"/>
          <w:sz w:val="20"/>
          <w:szCs w:val="20"/>
        </w:rPr>
        <w:t>% on the post-test in order to receive CME</w:t>
      </w:r>
      <w:r>
        <w:rPr>
          <w:rFonts w:ascii="Calibri" w:hAnsi="Calibri"/>
          <w:sz w:val="20"/>
          <w:szCs w:val="20"/>
        </w:rPr>
        <w:t xml:space="preserve"> credit</w:t>
      </w:r>
      <w:r w:rsidRPr="00EE67DB">
        <w:rPr>
          <w:rFonts w:ascii="Calibri" w:hAnsi="Calibri"/>
          <w:sz w:val="20"/>
          <w:szCs w:val="20"/>
        </w:rPr>
        <w:t xml:space="preserve">. Once you’ve attested to the completion of the course and the number of credits you’ve claimed, you will be prompted to print your CME certificate. </w:t>
      </w:r>
    </w:p>
    <w:p w:rsidR="00202F22" w:rsidRDefault="00202F22" w:rsidP="00202F22">
      <w:pPr>
        <w:contextualSpacing/>
        <w:rPr>
          <w:rFonts w:ascii="Calibri" w:hAnsi="Calibri"/>
          <w:b/>
          <w:sz w:val="20"/>
          <w:szCs w:val="20"/>
          <w:u w:val="single"/>
        </w:rPr>
      </w:pPr>
    </w:p>
    <w:p w:rsidR="00202F22" w:rsidRPr="00EE67DB" w:rsidRDefault="00202F22" w:rsidP="00202F22">
      <w:pPr>
        <w:contextualSpacing/>
        <w:rPr>
          <w:rFonts w:ascii="Calibri" w:hAnsi="Calibri"/>
          <w:sz w:val="20"/>
          <w:szCs w:val="20"/>
        </w:rPr>
      </w:pPr>
      <w:r w:rsidRPr="00EE67DB">
        <w:rPr>
          <w:rFonts w:ascii="Calibri" w:hAnsi="Calibri"/>
          <w:b/>
          <w:sz w:val="20"/>
          <w:szCs w:val="20"/>
          <w:u w:val="single"/>
        </w:rPr>
        <w:t>Time to complete the course</w:t>
      </w:r>
    </w:p>
    <w:p w:rsidR="00202F22" w:rsidRPr="00EE67DB" w:rsidRDefault="00202F22" w:rsidP="00202F22">
      <w:pPr>
        <w:contextualSpacing/>
        <w:rPr>
          <w:rFonts w:ascii="Calibri" w:hAnsi="Calibri"/>
          <w:sz w:val="20"/>
          <w:szCs w:val="20"/>
        </w:rPr>
      </w:pPr>
      <w:r w:rsidRPr="00EE67DB">
        <w:rPr>
          <w:rFonts w:ascii="Calibri" w:hAnsi="Calibri"/>
          <w:sz w:val="20"/>
          <w:szCs w:val="20"/>
        </w:rPr>
        <w:t xml:space="preserve">It is estimated that this course will take </w:t>
      </w:r>
      <w:r>
        <w:rPr>
          <w:rFonts w:ascii="Calibri" w:hAnsi="Calibri"/>
          <w:sz w:val="20"/>
          <w:szCs w:val="20"/>
        </w:rPr>
        <w:t>1</w:t>
      </w:r>
      <w:r w:rsidRPr="00EE67DB">
        <w:rPr>
          <w:rFonts w:ascii="Calibri" w:hAnsi="Calibri"/>
          <w:sz w:val="20"/>
          <w:szCs w:val="20"/>
        </w:rPr>
        <w:t xml:space="preserve"> hour to complete. </w:t>
      </w:r>
    </w:p>
    <w:p w:rsidR="00202F22" w:rsidRPr="00EE67DB" w:rsidRDefault="00202F22" w:rsidP="00202F22">
      <w:pPr>
        <w:contextualSpacing/>
        <w:rPr>
          <w:rFonts w:ascii="Calibri" w:hAnsi="Calibri"/>
          <w:sz w:val="20"/>
          <w:szCs w:val="20"/>
        </w:rPr>
      </w:pPr>
    </w:p>
    <w:p w:rsidR="00202F22" w:rsidRDefault="00202F22" w:rsidP="00202F22">
      <w:pPr>
        <w:contextualSpacing/>
        <w:rPr>
          <w:rFonts w:ascii="Calibri" w:hAnsi="Calibri"/>
          <w:sz w:val="20"/>
          <w:szCs w:val="20"/>
        </w:rPr>
      </w:pPr>
      <w:r w:rsidRPr="006B4FC4">
        <w:rPr>
          <w:rFonts w:ascii="Calibri" w:hAnsi="Calibri"/>
          <w:b/>
          <w:sz w:val="20"/>
          <w:szCs w:val="20"/>
          <w:u w:val="single"/>
        </w:rPr>
        <w:t>Method of communication between learner and faculty</w:t>
      </w:r>
      <w:r>
        <w:rPr>
          <w:rFonts w:ascii="Calibri" w:hAnsi="Calibri"/>
          <w:sz w:val="20"/>
          <w:szCs w:val="20"/>
        </w:rPr>
        <w:t>:</w:t>
      </w:r>
    </w:p>
    <w:p w:rsidR="00202F22" w:rsidRDefault="00202F22" w:rsidP="00202F22">
      <w:pPr>
        <w:contextualSpacing/>
        <w:rPr>
          <w:rFonts w:ascii="Calibri" w:hAnsi="Calibri"/>
          <w:sz w:val="20"/>
          <w:szCs w:val="20"/>
        </w:rPr>
      </w:pPr>
      <w:r>
        <w:rPr>
          <w:rFonts w:ascii="Calibri" w:hAnsi="Calibri"/>
          <w:sz w:val="20"/>
          <w:szCs w:val="20"/>
        </w:rPr>
        <w:t xml:space="preserve">Should you have any questions or concerns regarding the educational material presented in </w:t>
      </w:r>
      <w:r w:rsidRPr="00891F66">
        <w:rPr>
          <w:rFonts w:ascii="Calibri" w:hAnsi="Calibri"/>
          <w:i/>
          <w:sz w:val="20"/>
          <w:szCs w:val="20"/>
        </w:rPr>
        <w:t>The New Heroin Epidemic</w:t>
      </w:r>
      <w:r>
        <w:rPr>
          <w:rFonts w:ascii="Calibri" w:hAnsi="Calibri"/>
          <w:i/>
          <w:sz w:val="20"/>
          <w:szCs w:val="20"/>
        </w:rPr>
        <w:t xml:space="preserve"> </w:t>
      </w:r>
      <w:r>
        <w:rPr>
          <w:rFonts w:ascii="Calibri" w:hAnsi="Calibri"/>
          <w:sz w:val="20"/>
          <w:szCs w:val="20"/>
        </w:rPr>
        <w:t xml:space="preserve">webinar please contact the Emergency Medicine Learning and Resource Center offices at 407-281-7396 or via email at </w:t>
      </w:r>
      <w:hyperlink r:id="rId5" w:history="1">
        <w:r w:rsidRPr="00600911">
          <w:rPr>
            <w:rStyle w:val="Hyperlink"/>
            <w:rFonts w:ascii="Calibri" w:hAnsi="Calibri"/>
            <w:sz w:val="20"/>
            <w:szCs w:val="20"/>
          </w:rPr>
          <w:t>info@emlrc.org</w:t>
        </w:r>
      </w:hyperlink>
      <w:r>
        <w:rPr>
          <w:rFonts w:ascii="Calibri" w:hAnsi="Calibri"/>
          <w:sz w:val="20"/>
          <w:szCs w:val="20"/>
        </w:rPr>
        <w:t xml:space="preserve">.  </w:t>
      </w:r>
    </w:p>
    <w:p w:rsidR="00202F22" w:rsidRDefault="00202F22" w:rsidP="00202F22">
      <w:pPr>
        <w:contextualSpacing/>
      </w:pPr>
    </w:p>
    <w:p w:rsidR="00202F22" w:rsidRDefault="00202F22" w:rsidP="00202F22">
      <w:pPr>
        <w:contextualSpacing/>
      </w:pPr>
    </w:p>
    <w:p w:rsidR="00202F22" w:rsidRPr="001C561C" w:rsidRDefault="00202F22" w:rsidP="00202F22">
      <w:pPr>
        <w:contextualSpacing/>
        <w:rPr>
          <w:rFonts w:ascii="Calibri" w:hAnsi="Calibri"/>
          <w:b/>
          <w:sz w:val="20"/>
          <w:szCs w:val="20"/>
          <w:u w:val="single"/>
        </w:rPr>
      </w:pPr>
      <w:r w:rsidRPr="001C561C">
        <w:rPr>
          <w:rFonts w:ascii="Calibri" w:hAnsi="Calibri"/>
          <w:b/>
          <w:sz w:val="20"/>
          <w:szCs w:val="20"/>
          <w:u w:val="single"/>
        </w:rPr>
        <w:t>Media or Combo of Media Used</w:t>
      </w:r>
    </w:p>
    <w:p w:rsidR="00202F22" w:rsidRDefault="00202F22" w:rsidP="00202F22">
      <w:pPr>
        <w:contextualSpacing/>
        <w:rPr>
          <w:rFonts w:ascii="Calibri" w:hAnsi="Calibri"/>
          <w:sz w:val="20"/>
          <w:szCs w:val="20"/>
        </w:rPr>
      </w:pPr>
      <w:r w:rsidRPr="001C561C">
        <w:rPr>
          <w:rFonts w:ascii="Calibri" w:hAnsi="Calibri"/>
          <w:sz w:val="20"/>
          <w:szCs w:val="20"/>
        </w:rPr>
        <w:t>Internet</w:t>
      </w:r>
      <w:r>
        <w:rPr>
          <w:rFonts w:ascii="Calibri" w:hAnsi="Calibri"/>
          <w:sz w:val="20"/>
          <w:szCs w:val="20"/>
        </w:rPr>
        <w:t>, computer/phone</w:t>
      </w:r>
    </w:p>
    <w:p w:rsidR="00202F22" w:rsidRDefault="00202F22" w:rsidP="00202F22">
      <w:pPr>
        <w:contextualSpacing/>
        <w:rPr>
          <w:rFonts w:ascii="Calibri" w:hAnsi="Calibri"/>
          <w:sz w:val="20"/>
          <w:szCs w:val="20"/>
        </w:rPr>
      </w:pPr>
    </w:p>
    <w:p w:rsidR="00202F22" w:rsidRDefault="00202F22" w:rsidP="00202F22">
      <w:pPr>
        <w:contextualSpacing/>
        <w:rPr>
          <w:rFonts w:ascii="Calibri" w:hAnsi="Calibri"/>
          <w:b/>
          <w:sz w:val="20"/>
          <w:szCs w:val="20"/>
          <w:u w:val="single"/>
        </w:rPr>
      </w:pPr>
      <w:r w:rsidRPr="00D71FE9">
        <w:rPr>
          <w:rFonts w:ascii="Calibri" w:hAnsi="Calibri"/>
          <w:b/>
          <w:sz w:val="20"/>
          <w:szCs w:val="20"/>
          <w:u w:val="single"/>
        </w:rPr>
        <w:t>Hardware and Software Requirements</w:t>
      </w:r>
    </w:p>
    <w:p w:rsidR="003D24FB" w:rsidRPr="003D24FB" w:rsidRDefault="003D24FB" w:rsidP="003D24FB">
      <w:pPr>
        <w:autoSpaceDE w:val="0"/>
        <w:autoSpaceDN w:val="0"/>
        <w:spacing w:after="0" w:line="240" w:lineRule="auto"/>
        <w:rPr>
          <w:sz w:val="18"/>
        </w:rPr>
      </w:pPr>
      <w:r>
        <w:rPr>
          <w:rFonts w:ascii="Calibri" w:hAnsi="Calibri"/>
          <w:sz w:val="20"/>
          <w:szCs w:val="20"/>
        </w:rPr>
        <w:t xml:space="preserve">Test your computer via the following link: </w:t>
      </w:r>
      <w:hyperlink r:id="rId6" w:history="1">
        <w:r w:rsidRPr="005F0EDC">
          <w:rPr>
            <w:rStyle w:val="Hyperlink"/>
            <w:rFonts w:cs="Segoe UI"/>
            <w:sz w:val="20"/>
            <w:szCs w:val="24"/>
          </w:rPr>
          <w:t>https://www.readytalk.com/rt/test-computer.php</w:t>
        </w:r>
      </w:hyperlink>
      <w:r>
        <w:rPr>
          <w:rFonts w:cs="Segoe UI"/>
          <w:sz w:val="20"/>
          <w:szCs w:val="24"/>
        </w:rPr>
        <w:t xml:space="preserve"> </w:t>
      </w:r>
      <w:r w:rsidRPr="003D24FB">
        <w:rPr>
          <w:rFonts w:cs="Segoe UI"/>
          <w:sz w:val="20"/>
          <w:szCs w:val="24"/>
        </w:rPr>
        <w:t> </w:t>
      </w:r>
    </w:p>
    <w:p w:rsidR="003D24FB" w:rsidRDefault="003D24FB" w:rsidP="003D24FB">
      <w:pPr>
        <w:autoSpaceDE w:val="0"/>
        <w:autoSpaceDN w:val="0"/>
        <w:spacing w:after="0" w:line="240" w:lineRule="auto"/>
      </w:pPr>
      <w:r>
        <w:rPr>
          <w:rFonts w:ascii="Segoe UI" w:hAnsi="Segoe UI" w:cs="Segoe UI"/>
          <w:sz w:val="20"/>
          <w:szCs w:val="20"/>
        </w:rPr>
        <w:t> </w:t>
      </w:r>
    </w:p>
    <w:p w:rsidR="003D24FB" w:rsidRPr="003D24FB" w:rsidRDefault="003D24FB" w:rsidP="00202F22">
      <w:pPr>
        <w:contextualSpacing/>
        <w:rPr>
          <w:rFonts w:ascii="Calibri" w:hAnsi="Calibri"/>
          <w:sz w:val="20"/>
          <w:szCs w:val="20"/>
          <w:highlight w:val="yellow"/>
        </w:rPr>
      </w:pPr>
    </w:p>
    <w:p w:rsidR="00202F22" w:rsidRPr="00AC622F" w:rsidRDefault="00202F22" w:rsidP="00202F22">
      <w:pPr>
        <w:autoSpaceDE w:val="0"/>
        <w:autoSpaceDN w:val="0"/>
        <w:adjustRightInd w:val="0"/>
        <w:spacing w:before="7" w:after="0" w:line="60" w:lineRule="exact"/>
        <w:rPr>
          <w:rFonts w:ascii="Times New Roman" w:hAnsi="Times New Roman" w:cs="Times New Roman"/>
          <w:sz w:val="6"/>
          <w:szCs w:val="6"/>
        </w:rPr>
      </w:pPr>
    </w:p>
    <w:p w:rsidR="00202F22" w:rsidRPr="00202F22" w:rsidRDefault="00202F22" w:rsidP="00202F22">
      <w:pPr>
        <w:contextualSpacing/>
        <w:rPr>
          <w:rFonts w:asciiTheme="majorHAnsi" w:hAnsiTheme="majorHAnsi"/>
          <w:szCs w:val="20"/>
          <w:highlight w:val="yellow"/>
        </w:rPr>
      </w:pPr>
    </w:p>
    <w:p w:rsidR="00D5456A" w:rsidRPr="00202F22" w:rsidRDefault="00D5456A">
      <w:pPr>
        <w:rPr>
          <w:rFonts w:asciiTheme="majorHAnsi" w:hAnsiTheme="majorHAnsi"/>
        </w:rPr>
      </w:pPr>
    </w:p>
    <w:p w:rsidR="00202F22" w:rsidRDefault="00202F22"/>
    <w:sectPr w:rsidR="00202F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391A2B"/>
    <w:multiLevelType w:val="hybridMultilevel"/>
    <w:tmpl w:val="23C0D718"/>
    <w:lvl w:ilvl="0" w:tplc="BF164084">
      <w:numFmt w:val="bullet"/>
      <w:lvlText w:val="-"/>
      <w:lvlJc w:val="left"/>
      <w:pPr>
        <w:ind w:left="720" w:hanging="36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F22"/>
    <w:rsid w:val="00202F22"/>
    <w:rsid w:val="003D24FB"/>
    <w:rsid w:val="004331F7"/>
    <w:rsid w:val="00D5456A"/>
    <w:rsid w:val="00E20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3F3F78-E5EE-40DB-985C-6EF589ACE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2F2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2F22"/>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02F22"/>
    <w:rPr>
      <w:color w:val="0563C1" w:themeColor="hyperlink"/>
      <w:u w:val="single"/>
    </w:rPr>
  </w:style>
  <w:style w:type="character" w:styleId="FollowedHyperlink">
    <w:name w:val="FollowedHyperlink"/>
    <w:basedOn w:val="DefaultParagraphFont"/>
    <w:uiPriority w:val="99"/>
    <w:semiHidden/>
    <w:unhideWhenUsed/>
    <w:rsid w:val="003D24F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8869301">
      <w:bodyDiv w:val="1"/>
      <w:marLeft w:val="0"/>
      <w:marRight w:val="0"/>
      <w:marTop w:val="0"/>
      <w:marBottom w:val="0"/>
      <w:divBdr>
        <w:top w:val="none" w:sz="0" w:space="0" w:color="auto"/>
        <w:left w:val="none" w:sz="0" w:space="0" w:color="auto"/>
        <w:bottom w:val="none" w:sz="0" w:space="0" w:color="auto"/>
        <w:right w:val="none" w:sz="0" w:space="0" w:color="auto"/>
      </w:divBdr>
      <w:divsChild>
        <w:div w:id="611742003">
          <w:marLeft w:val="0"/>
          <w:marRight w:val="0"/>
          <w:marTop w:val="0"/>
          <w:marBottom w:val="0"/>
          <w:divBdr>
            <w:top w:val="none" w:sz="0" w:space="0" w:color="auto"/>
            <w:left w:val="single" w:sz="8" w:space="0" w:color="C0C0C0"/>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adytalk.com/rt/test-computer.php" TargetMode="External"/><Relationship Id="rId5" Type="http://schemas.openxmlformats.org/officeDocument/2006/relationships/hyperlink" Target="mailto:info@emlrc.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852</Words>
  <Characters>4860</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Niala Ramoutar</dc:creator>
  <cp:keywords/>
  <dc:description/>
  <cp:lastModifiedBy>Samantha Rosenthal</cp:lastModifiedBy>
  <cp:revision>2</cp:revision>
  <dcterms:created xsi:type="dcterms:W3CDTF">2016-09-26T18:38:00Z</dcterms:created>
  <dcterms:modified xsi:type="dcterms:W3CDTF">2016-09-26T18:38:00Z</dcterms:modified>
</cp:coreProperties>
</file>