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D67F1" w14:paraId="52CD3BB6" w14:textId="77777777" w:rsidTr="001D67F1">
        <w:tc>
          <w:tcPr>
            <w:tcW w:w="1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C19B" w14:textId="77777777" w:rsidR="001D67F1" w:rsidRDefault="001D67F1">
            <w:pPr>
              <w:rPr>
                <w:rFonts w:ascii="Arial" w:hAnsi="Arial" w:cs="Arial"/>
                <w:color w:val="1F497D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7030A0"/>
                <w:sz w:val="28"/>
                <w:szCs w:val="28"/>
              </w:rPr>
              <w:t xml:space="preserve">Team </w:t>
            </w:r>
            <w:proofErr w:type="spellStart"/>
            <w:r>
              <w:rPr>
                <w:rFonts w:ascii="Arial" w:hAnsi="Arial" w:cs="Arial"/>
                <w:i/>
                <w:iCs/>
                <w:color w:val="7030A0"/>
                <w:sz w:val="28"/>
                <w:szCs w:val="28"/>
              </w:rPr>
              <w:t>Abroguena</w:t>
            </w:r>
            <w:proofErr w:type="spellEnd"/>
            <w:r>
              <w:rPr>
                <w:rFonts w:ascii="Arial" w:hAnsi="Arial" w:cs="Arial"/>
                <w:i/>
                <w:iCs/>
                <w:color w:val="7030A0"/>
                <w:sz w:val="28"/>
                <w:szCs w:val="28"/>
              </w:rPr>
              <w:t xml:space="preserve"> at Randall is successful in providing educational workshop for diabetic patients and their families.  </w:t>
            </w:r>
          </w:p>
        </w:tc>
      </w:tr>
    </w:tbl>
    <w:p w14:paraId="26789E3E" w14:textId="77777777" w:rsidR="001D67F1" w:rsidRDefault="001D67F1" w:rsidP="001D67F1">
      <w:pPr>
        <w:rPr>
          <w:rFonts w:ascii="Comic Sans MS" w:hAnsi="Comic Sans MS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"/>
        <w:gridCol w:w="5614"/>
        <w:gridCol w:w="294"/>
        <w:gridCol w:w="78"/>
      </w:tblGrid>
      <w:tr w:rsidR="001D67F1" w14:paraId="7877203B" w14:textId="77777777" w:rsidTr="001D67F1">
        <w:tc>
          <w:tcPr>
            <w:tcW w:w="7666" w:type="dxa"/>
          </w:tcPr>
          <w:p w14:paraId="7C5B844A" w14:textId="77777777" w:rsidR="001D67F1" w:rsidRDefault="001D67F1">
            <w:pPr>
              <w:jc w:val="center"/>
              <w:rPr>
                <w:color w:val="1F497D"/>
              </w:rPr>
            </w:pPr>
          </w:p>
          <w:p w14:paraId="5DEF0DEE" w14:textId="77777777" w:rsidR="001D67F1" w:rsidRDefault="001D67F1">
            <w:pPr>
              <w:jc w:val="center"/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18B84BA3" wp14:editId="713A751E">
                  <wp:extent cx="2806700" cy="2292350"/>
                  <wp:effectExtent l="0" t="0" r="0" b="0"/>
                  <wp:docPr id="2" name="Picture 2" descr="cid:image002.jpg@01D43EFB.A7592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43EFB.A7592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29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14:paraId="36F657D3" w14:textId="77777777" w:rsidR="001D67F1" w:rsidRDefault="001D67F1">
            <w:pPr>
              <w:rPr>
                <w:color w:val="1F497D"/>
              </w:rPr>
            </w:pPr>
          </w:p>
        </w:tc>
        <w:tc>
          <w:tcPr>
            <w:tcW w:w="9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16DD" w14:textId="77777777" w:rsidR="001D67F1" w:rsidRDefault="001D67F1">
            <w:pPr>
              <w:rPr>
                <w:color w:val="1F497D"/>
              </w:rPr>
            </w:pPr>
          </w:p>
          <w:p w14:paraId="033DF4A1" w14:textId="77777777" w:rsidR="001D67F1" w:rsidRDefault="001D67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Abroguena’s</w:t>
            </w:r>
            <w:proofErr w:type="spellEnd"/>
            <w:r>
              <w:rPr>
                <w:rFonts w:ascii="Arial" w:hAnsi="Arial" w:cs="Arial"/>
              </w:rPr>
              <w:t xml:space="preserve"> team held their first diabetes education group in early August.</w:t>
            </w:r>
          </w:p>
          <w:p w14:paraId="7ADE7DE1" w14:textId="77777777" w:rsidR="001D67F1" w:rsidRDefault="001D67F1">
            <w:pPr>
              <w:rPr>
                <w:rFonts w:ascii="Arial" w:hAnsi="Arial" w:cs="Arial"/>
              </w:rPr>
            </w:pPr>
          </w:p>
          <w:p w14:paraId="44902630" w14:textId="77777777" w:rsidR="001D67F1" w:rsidRDefault="001D67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Identified 10 patients with high A1C levels and the entire Randall staff pitched in to make it </w:t>
            </w:r>
            <w:proofErr w:type="gramStart"/>
            <w:r>
              <w:rPr>
                <w:rFonts w:ascii="Arial" w:hAnsi="Arial" w:cs="Arial"/>
              </w:rPr>
              <w:t>a  successful</w:t>
            </w:r>
            <w:proofErr w:type="gramEnd"/>
            <w:r>
              <w:rPr>
                <w:rFonts w:ascii="Arial" w:hAnsi="Arial" w:cs="Arial"/>
              </w:rPr>
              <w:t xml:space="preserve"> event. We were able to get healthy snacks, goody bags for attending along with certificates signed by Dr. </w:t>
            </w:r>
            <w:proofErr w:type="spellStart"/>
            <w:r>
              <w:rPr>
                <w:rFonts w:ascii="Arial" w:hAnsi="Arial" w:cs="Arial"/>
              </w:rPr>
              <w:t>Abroguena</w:t>
            </w:r>
            <w:proofErr w:type="spellEnd"/>
            <w:r>
              <w:rPr>
                <w:rFonts w:ascii="Arial" w:hAnsi="Arial" w:cs="Arial"/>
              </w:rPr>
              <w:t xml:space="preserve"> which he delivered to each patient. Patients received glucose logs, healthy recipes, and educational material to supplement what was taught in class.</w:t>
            </w:r>
          </w:p>
          <w:p w14:paraId="6915DD2C" w14:textId="77777777" w:rsidR="001D67F1" w:rsidRDefault="001D67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had a goal of 10 patients and 6 participated, several even brought spouses. The patients LOVED it and were excited for their next group. The next follow-up session will be in 2 months with more patients added to the group. It is a success for the entire Randall team!</w:t>
            </w:r>
          </w:p>
          <w:p w14:paraId="06D2C3BE" w14:textId="77777777" w:rsidR="001D67F1" w:rsidRDefault="001D67F1">
            <w:pPr>
              <w:spacing w:line="360" w:lineRule="auto"/>
              <w:rPr>
                <w:rFonts w:ascii="Arial" w:hAnsi="Arial" w:cs="Arial"/>
              </w:rPr>
            </w:pPr>
          </w:p>
          <w:p w14:paraId="5EAC12EF" w14:textId="77777777" w:rsidR="001D67F1" w:rsidRDefault="001D67F1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(l-r) Alice </w:t>
            </w:r>
            <w:proofErr w:type="spellStart"/>
            <w:r>
              <w:rPr>
                <w:rFonts w:ascii="Arial" w:hAnsi="Arial" w:cs="Arial"/>
              </w:rPr>
              <w:t>Eyo</w:t>
            </w:r>
            <w:proofErr w:type="spellEnd"/>
            <w:r>
              <w:rPr>
                <w:rFonts w:ascii="Arial" w:hAnsi="Arial" w:cs="Arial"/>
              </w:rPr>
              <w:t xml:space="preserve">, RN, Celia </w:t>
            </w:r>
            <w:proofErr w:type="spellStart"/>
            <w:r>
              <w:rPr>
                <w:rFonts w:ascii="Arial" w:hAnsi="Arial" w:cs="Arial"/>
              </w:rPr>
              <w:t>Ortiz,HCA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Loyda</w:t>
            </w:r>
            <w:proofErr w:type="spellEnd"/>
            <w:r>
              <w:rPr>
                <w:rFonts w:ascii="Arial" w:hAnsi="Arial" w:cs="Arial"/>
              </w:rPr>
              <w:t xml:space="preserve"> Ruiz, front desk supervisor, Ann-Marie Reid-Richardson, Health Center Director, Jackie Collazo, HCA, Mark </w:t>
            </w:r>
            <w:proofErr w:type="spellStart"/>
            <w:r>
              <w:rPr>
                <w:rFonts w:ascii="Arial" w:hAnsi="Arial" w:cs="Arial"/>
              </w:rPr>
              <w:t>Pfiffer,IBH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Abroguena,MD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3C89" w14:textId="77777777" w:rsidR="001D67F1" w:rsidRDefault="001D67F1">
            <w:pPr>
              <w:rPr>
                <w:color w:val="1F497D"/>
              </w:rPr>
            </w:pPr>
          </w:p>
          <w:p w14:paraId="02A201DB" w14:textId="77777777" w:rsidR="001D67F1" w:rsidRDefault="001D67F1">
            <w:pPr>
              <w:rPr>
                <w:color w:val="1F497D"/>
              </w:rPr>
            </w:pPr>
          </w:p>
          <w:p w14:paraId="1C2DD6DF" w14:textId="77777777" w:rsidR="001D67F1" w:rsidRDefault="001D67F1">
            <w:pPr>
              <w:rPr>
                <w:color w:val="1F497D"/>
              </w:rPr>
            </w:pPr>
          </w:p>
        </w:tc>
        <w:tc>
          <w:tcPr>
            <w:tcW w:w="286" w:type="dxa"/>
            <w:hideMark/>
          </w:tcPr>
          <w:p w14:paraId="2598F837" w14:textId="77777777" w:rsidR="001D67F1" w:rsidRDefault="001D67F1">
            <w:pPr>
              <w:rPr>
                <w:color w:val="1F497D"/>
              </w:rPr>
            </w:pPr>
          </w:p>
        </w:tc>
      </w:tr>
      <w:tr w:rsidR="001D67F1" w14:paraId="02D0E25E" w14:textId="77777777" w:rsidTr="001D67F1">
        <w:tc>
          <w:tcPr>
            <w:tcW w:w="7666" w:type="dxa"/>
          </w:tcPr>
          <w:p w14:paraId="0D1C77DD" w14:textId="77777777" w:rsidR="001D67F1" w:rsidRDefault="001D67F1">
            <w:pPr>
              <w:rPr>
                <w:color w:val="1F497D"/>
              </w:rPr>
            </w:pPr>
          </w:p>
        </w:tc>
        <w:tc>
          <w:tcPr>
            <w:tcW w:w="20" w:type="dxa"/>
          </w:tcPr>
          <w:p w14:paraId="182F19A7" w14:textId="77777777" w:rsidR="001D67F1" w:rsidRDefault="001D67F1">
            <w:pPr>
              <w:rPr>
                <w:color w:val="1F497D"/>
              </w:rPr>
            </w:pPr>
          </w:p>
        </w:tc>
        <w:tc>
          <w:tcPr>
            <w:tcW w:w="9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D044" w14:textId="77777777" w:rsidR="001D67F1" w:rsidRDefault="001D67F1">
            <w:pPr>
              <w:rPr>
                <w:color w:val="1F497D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AE2C" w14:textId="77777777" w:rsidR="001D67F1" w:rsidRDefault="001D67F1">
            <w:pPr>
              <w:rPr>
                <w:color w:val="1F497D"/>
              </w:rPr>
            </w:pPr>
          </w:p>
        </w:tc>
        <w:tc>
          <w:tcPr>
            <w:tcW w:w="286" w:type="dxa"/>
          </w:tcPr>
          <w:p w14:paraId="710FB648" w14:textId="77777777" w:rsidR="001D67F1" w:rsidRDefault="001D67F1">
            <w:pPr>
              <w:rPr>
                <w:color w:val="1F497D"/>
              </w:rPr>
            </w:pPr>
          </w:p>
        </w:tc>
      </w:tr>
      <w:tr w:rsidR="001D67F1" w14:paraId="5299D8DB" w14:textId="77777777" w:rsidTr="001D67F1">
        <w:trPr>
          <w:trHeight w:val="2880"/>
        </w:trPr>
        <w:tc>
          <w:tcPr>
            <w:tcW w:w="7666" w:type="dxa"/>
            <w:hideMark/>
          </w:tcPr>
          <w:p w14:paraId="2288ED84" w14:textId="77777777" w:rsidR="001D67F1" w:rsidRDefault="001D67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great example of a team working toward our shared vision:</w:t>
            </w:r>
          </w:p>
          <w:p w14:paraId="7A0CB1BA" w14:textId="77777777" w:rsidR="001D67F1" w:rsidRDefault="001D67F1">
            <w:pPr>
              <w:pStyle w:val="ListParagraph"/>
              <w:spacing w:line="360" w:lineRule="auto"/>
              <w:ind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</w:rPr>
              <w:t>Increasing alternative visit types with extended care team members</w:t>
            </w:r>
          </w:p>
          <w:p w14:paraId="540B1612" w14:textId="77777777" w:rsidR="001D67F1" w:rsidRDefault="001D67F1">
            <w:pPr>
              <w:pStyle w:val="ListParagraph"/>
              <w:spacing w:line="360" w:lineRule="auto"/>
              <w:ind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</w:rPr>
              <w:t>Collaboration with the patient on goal setting (and in this case, involving patient’s family!)</w:t>
            </w:r>
          </w:p>
          <w:p w14:paraId="485A80C9" w14:textId="77777777" w:rsidR="001D67F1" w:rsidRDefault="001D67F1">
            <w:pPr>
              <w:pStyle w:val="ListParagraph"/>
              <w:spacing w:line="360" w:lineRule="auto"/>
              <w:ind w:hanging="360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lastRenderedPageBreak/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</w:rPr>
              <w:t>Encourage family member support to manage and achieve health goals</w:t>
            </w:r>
          </w:p>
          <w:p w14:paraId="530B8D77" w14:textId="77777777" w:rsidR="001D67F1" w:rsidRDefault="001D67F1">
            <w:pPr>
              <w:pStyle w:val="ListParagraph"/>
              <w:spacing w:line="360" w:lineRule="auto"/>
              <w:ind w:hanging="360"/>
              <w:rPr>
                <w:rFonts w:ascii="Bookman Old Style" w:hAnsi="Bookman Old Style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</w:rPr>
              <w:t>Utilizing health center and community resources to help patients</w:t>
            </w:r>
          </w:p>
          <w:p w14:paraId="7D3EDE07" w14:textId="77777777" w:rsidR="001D67F1" w:rsidRDefault="001D67F1">
            <w:pPr>
              <w:pStyle w:val="ListParagraph"/>
              <w:spacing w:line="360" w:lineRule="auto"/>
              <w:ind w:hanging="360"/>
              <w:rPr>
                <w:rFonts w:ascii="Bookman Old Style" w:hAnsi="Bookman Old Style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 </w:t>
            </w:r>
            <w:r>
              <w:rPr>
                <w:rFonts w:ascii="Arial" w:hAnsi="Arial" w:cs="Arial"/>
              </w:rPr>
              <w:t>Trusting care teams to try new ideas to best serve patients</w:t>
            </w:r>
          </w:p>
        </w:tc>
        <w:tc>
          <w:tcPr>
            <w:tcW w:w="20" w:type="dxa"/>
          </w:tcPr>
          <w:p w14:paraId="6FD89D8A" w14:textId="77777777" w:rsidR="001D67F1" w:rsidRDefault="001D67F1">
            <w:pPr>
              <w:rPr>
                <w:color w:val="1F497D"/>
              </w:rPr>
            </w:pPr>
          </w:p>
        </w:tc>
        <w:tc>
          <w:tcPr>
            <w:tcW w:w="102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9FA8" w14:textId="77777777" w:rsidR="001D67F1" w:rsidRDefault="001D67F1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6AABF5FC" wp14:editId="6208A893">
                  <wp:extent cx="4756150" cy="1574800"/>
                  <wp:effectExtent l="0" t="0" r="6350" b="6350"/>
                  <wp:docPr id="1" name="Picture 1" descr="cid:image008.jpg@01D3E76E.7E977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jpg@01D3E76E.7E977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127D1" w14:textId="77777777" w:rsidR="001D67F1" w:rsidRDefault="001D67F1" w:rsidP="001D67F1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D67F1" w14:paraId="03500D96" w14:textId="77777777" w:rsidTr="001D67F1">
        <w:trPr>
          <w:trHeight w:val="659"/>
        </w:trPr>
        <w:tc>
          <w:tcPr>
            <w:tcW w:w="17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6A18" w14:textId="77777777" w:rsidR="001D67F1" w:rsidRDefault="001D67F1">
            <w:pPr>
              <w:jc w:val="center"/>
              <w:rPr>
                <w:rFonts w:ascii="Arial" w:hAnsi="Arial" w:cs="Arial"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7030A0"/>
                <w:sz w:val="24"/>
                <w:szCs w:val="24"/>
              </w:rPr>
              <w:t>Within 2 months, the team at Randall will continue to outreach new patients with high A1Cs, continue hosting educational workshop to encourage good health habits and diabetes prevention.  </w:t>
            </w:r>
          </w:p>
        </w:tc>
      </w:tr>
    </w:tbl>
    <w:p w14:paraId="3125F86D" w14:textId="77777777" w:rsidR="00B53E1B" w:rsidRDefault="00B53E1B"/>
    <w:sectPr w:rsidR="00B5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F1"/>
    <w:rsid w:val="001D67F1"/>
    <w:rsid w:val="00B53E1B"/>
    <w:rsid w:val="00F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40BC"/>
  <w15:chartTrackingRefBased/>
  <w15:docId w15:val="{292251C3-7ABB-41FC-8830-7DEB0C67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48DF.40B81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48DF.40B816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Sarah Dell</cp:lastModifiedBy>
  <cp:revision>2</cp:revision>
  <dcterms:created xsi:type="dcterms:W3CDTF">2018-09-28T15:48:00Z</dcterms:created>
  <dcterms:modified xsi:type="dcterms:W3CDTF">2018-09-28T15:48:00Z</dcterms:modified>
</cp:coreProperties>
</file>