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240EA">
      <w:pPr>
        <w:pStyle w:val="Heading1"/>
        <w:jc w:val="center"/>
        <w:rPr>
          <w:rFonts w:ascii="Arial" w:eastAsia="Times New Roman" w:hAnsi="Arial" w:cs="Arial"/>
        </w:rPr>
      </w:pPr>
      <w:r>
        <w:rPr>
          <w:rFonts w:ascii="Arial" w:eastAsia="Times New Roman" w:hAnsi="Arial" w:cs="Arial"/>
        </w:rPr>
        <w:t>TCV Priority Bill List 2.25.2017</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2088"/>
        <w:gridCol w:w="7272"/>
      </w:tblGrid>
      <w:tr w:rsidR="00000000">
        <w:trPr>
          <w:tblCellSpacing w:w="15" w:type="dxa"/>
        </w:trPr>
        <w:tc>
          <w:tcPr>
            <w:tcW w:w="0" w:type="auto"/>
            <w:tcMar>
              <w:top w:w="0" w:type="dxa"/>
              <w:left w:w="0" w:type="dxa"/>
              <w:bottom w:w="0" w:type="dxa"/>
              <w:right w:w="0" w:type="dxa"/>
            </w:tcMar>
            <w:hideMark/>
          </w:tcPr>
          <w:p w:rsidR="00000000" w:rsidRDefault="00FF3C61">
            <w:pPr>
              <w:rPr>
                <w:rStyle w:val="Hyperlink"/>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SB122/HB1035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Establishment of a spay-neuter program for cats and dogs.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w:t>
            </w:r>
            <w:r>
              <w:rPr>
                <w:rFonts w:ascii="Arial" w:eastAsia="Times New Roman" w:hAnsi="Arial" w:cs="Arial"/>
                <w:color w:val="000000"/>
                <w:sz w:val="20"/>
                <w:szCs w:val="20"/>
              </w:rPr>
              <w:t xml:space="preserve">Rep. Hawk, David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Supplies a voluntary means of funding a spay-neuter program to provide financial assistance to local governments offering low-income persons reduced-cost spay-neuter services for their cats and dogs. </w:t>
            </w:r>
            <w:r w:rsidR="009240EA">
              <w:rPr>
                <w:rFonts w:ascii="Arial" w:eastAsia="Times New Roman" w:hAnsi="Arial" w:cs="Arial"/>
                <w:color w:val="000000"/>
                <w:sz w:val="20"/>
                <w:szCs w:val="20"/>
              </w:rPr>
              <w:t>When cats and dogs have litters that end up feral because no one is prepared to care for them, wildlife suffers. Studies show that feral cats and dogs kill unbelievable amounts of birds and other creatures. This is th</w:t>
            </w:r>
            <w:r w:rsidR="00740E5E">
              <w:rPr>
                <w:rFonts w:ascii="Arial" w:eastAsia="Times New Roman" w:hAnsi="Arial" w:cs="Arial"/>
                <w:color w:val="000000"/>
                <w:sz w:val="20"/>
                <w:szCs w:val="20"/>
              </w:rPr>
              <w:t>e humane thing for all involved;</w:t>
            </w:r>
            <w:bookmarkStart w:id="0" w:name="_GoBack"/>
            <w:bookmarkEnd w:id="0"/>
            <w:r w:rsidR="009240EA">
              <w:rPr>
                <w:rFonts w:ascii="Arial" w:eastAsia="Times New Roman" w:hAnsi="Arial" w:cs="Arial"/>
                <w:color w:val="000000"/>
                <w:sz w:val="20"/>
                <w:szCs w:val="20"/>
              </w:rPr>
              <w:t xml:space="preserve"> cats, dogs, and wildlife.</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 01/30/17, H: 02/09/17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Senate Health &amp; Welfare 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w:t>
            </w:r>
            <w:r>
              <w:rPr>
                <w:rFonts w:ascii="Arial" w:eastAsia="Times New Roman" w:hAnsi="Arial" w:cs="Arial"/>
                <w:color w:val="000000"/>
                <w:sz w:val="20"/>
                <w:szCs w:val="20"/>
              </w:rPr>
              <w:t xml:space="preserve">Natural Resources Subcommittee.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Senate Health &amp; Welfare Committee</w:t>
            </w:r>
            <w:r>
              <w:rPr>
                <w:rFonts w:ascii="Arial" w:eastAsia="Times New Roman" w:hAnsi="Arial" w:cs="Arial"/>
                <w:color w:val="000000"/>
                <w:sz w:val="20"/>
                <w:szCs w:val="20"/>
              </w:rPr>
              <w:br/>
              <w:t>House Agriculture &amp; Natural Resources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SB266/HB385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w:instrText>
            </w:r>
            <w:r>
              <w:rPr>
                <w:rFonts w:ascii="Arial" w:eastAsia="Times New Roman" w:hAnsi="Arial" w:cs="Arial"/>
                <w:sz w:val="20"/>
                <w:szCs w:val="20"/>
              </w:rPr>
              <w:instrText>leesmith.com/2017-2018/pdf/SB0266.pdf"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Drinking water in schools built before June 19, 1986.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Powell, Jason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Requires principals of schools built before June 19, 1986, to flush fixtures used for drinking</w:t>
            </w:r>
            <w:r>
              <w:rPr>
                <w:rFonts w:ascii="Arial" w:eastAsia="Times New Roman" w:hAnsi="Arial" w:cs="Arial"/>
                <w:color w:val="000000"/>
                <w:sz w:val="20"/>
                <w:szCs w:val="20"/>
              </w:rPr>
              <w:t xml:space="preserve"> water and food preparation for at least 60 seconds before the arrival of children each school day.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17, 2017) NOT SIGNIFICANT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 02/02/17, H: 02/06/17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02/21/17 - House Education Administration and Planning Subcommittee deferred to 3/7/17.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Tue 2/21/17 3:00pm - LP 29, House Education Administration and Planning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Senate Education Committee</w:t>
            </w:r>
            <w:r>
              <w:rPr>
                <w:rFonts w:ascii="Arial" w:eastAsia="Times New Roman" w:hAnsi="Arial" w:cs="Arial"/>
                <w:color w:val="000000"/>
                <w:sz w:val="20"/>
                <w:szCs w:val="20"/>
              </w:rPr>
              <w:br/>
              <w:t>House Education Administration and Planning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SB295/HB362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Permits issued by the department of environment and conservation.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Spon</w:t>
            </w:r>
            <w:r>
              <w:rPr>
                <w:rFonts w:ascii="Arial" w:eastAsia="Times New Roman" w:hAnsi="Arial" w:cs="Arial"/>
                <w:i/>
                <w:iCs/>
                <w:sz w:val="20"/>
                <w:szCs w:val="20"/>
              </w:rPr>
              <w:t>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Zachary, Jason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Prohibits the department of environment and conservation from issuing any permit that has not first been reviewed by the general assembly in the same manner as a rule under the Uniform Administrative Procedures Act.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 02/02/17, H: 02/02/17</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Energy, Agriculture &amp; Natural Resources 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Agriculture &amp; Natural Resources Subcommittee.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w:t>
            </w:r>
            <w:r>
              <w:rPr>
                <w:rFonts w:ascii="Arial" w:eastAsia="Times New Roman" w:hAnsi="Arial" w:cs="Arial"/>
                <w:color w:val="000000"/>
                <w:sz w:val="20"/>
                <w:szCs w:val="20"/>
              </w:rPr>
              <w:t>mmittee</w:t>
            </w:r>
            <w:r>
              <w:rPr>
                <w:rFonts w:ascii="Arial" w:eastAsia="Times New Roman" w:hAnsi="Arial" w:cs="Arial"/>
                <w:color w:val="000000"/>
                <w:sz w:val="20"/>
                <w:szCs w:val="20"/>
              </w:rPr>
              <w:br/>
              <w:t>House Agriculture &amp; Natural Resources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SB299/HB187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Creates the "Express Transportation Act."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Sen. Bowling, Janice , Rep. Rogers, Courtney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lastRenderedPageBreak/>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Specifies that an existing HOV lane may be developed and operated as a tollway. Permits the commissioner of transportation to set tolls for the use of tollways or toll facilities. Prohibits TDOT to impose tolls on emergency or high occupancy vehicles that </w:t>
            </w:r>
            <w:r>
              <w:rPr>
                <w:rFonts w:ascii="Arial" w:eastAsia="Times New Roman" w:hAnsi="Arial" w:cs="Arial"/>
                <w:color w:val="000000"/>
                <w:sz w:val="20"/>
                <w:szCs w:val="20"/>
              </w:rPr>
              <w:t xml:space="preserve">use managed/toll lanes. Authorizes TDOT to impose tolls on low-emission and energy-efficient vehicles and single occupancy vehicles that use managed/toll lanes on interstates. Dedicates use of toll revenue to maintenance of managed/toll lanes.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Fiscal Not</w:t>
            </w:r>
            <w:r>
              <w:rPr>
                <w:rFonts w:ascii="Arial" w:eastAsia="Times New Roman" w:hAnsi="Arial" w:cs="Arial"/>
                <w:i/>
                <w:iCs/>
                <w:sz w:val="20"/>
                <w:szCs w:val="20"/>
              </w:rPr>
              <w: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(Dated January 31, 2017) Other Fiscal Impact – Based on information provided by TDOT, a previous study of the proposed pilot project was completed; therefore, the direct fiscal impact is not significant. To the extent TDOT proceeds with any such projec</w:t>
            </w:r>
            <w:r>
              <w:rPr>
                <w:rFonts w:ascii="Arial" w:eastAsia="Times New Roman" w:hAnsi="Arial" w:cs="Arial"/>
                <w:color w:val="000000"/>
                <w:sz w:val="20"/>
                <w:szCs w:val="20"/>
              </w:rPr>
              <w:t>t, there would be additional costs incurred for analysis, construction, operation, and enforcement which could be funded with a combination of federal, state, and local funds depending on the specifics of the project. In addition, and to the extent toll re</w:t>
            </w:r>
            <w:r>
              <w:rPr>
                <w:rFonts w:ascii="Arial" w:eastAsia="Times New Roman" w:hAnsi="Arial" w:cs="Arial"/>
                <w:color w:val="000000"/>
                <w:sz w:val="20"/>
                <w:szCs w:val="20"/>
              </w:rPr>
              <w:t>venue is collected for maintenance, management, and enhancement of such system, total costs or portions thereof, may be recaptured. The General Assembly will have to approve any such project as provided within current law prior to development of the projec</w:t>
            </w:r>
            <w:r>
              <w:rPr>
                <w:rFonts w:ascii="Arial" w:eastAsia="Times New Roman" w:hAnsi="Arial" w:cs="Arial"/>
                <w:color w:val="000000"/>
                <w:sz w:val="20"/>
                <w:szCs w:val="20"/>
              </w:rPr>
              <w:t xml:space="preserve">t.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 02/02/17, H: 02/01/17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Transportation &amp; Safety 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02/22/17 - Taken off notice in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Wed 2/15/17 12:00pm - LP 16, House Transportation Subcommittee</w:t>
            </w:r>
            <w:r>
              <w:rPr>
                <w:rFonts w:ascii="Arial" w:eastAsia="Times New Roman" w:hAnsi="Arial" w:cs="Arial"/>
                <w:color w:val="000000"/>
                <w:sz w:val="20"/>
                <w:szCs w:val="20"/>
              </w:rPr>
              <w:br/>
              <w:t>Wed 2/22/17 12:00pm - LP 16, House Transportation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Senate Transportation &amp; Safety Committee</w:t>
            </w:r>
            <w:r>
              <w:rPr>
                <w:rFonts w:ascii="Arial" w:eastAsia="Times New Roman" w:hAnsi="Arial" w:cs="Arial"/>
                <w:color w:val="000000"/>
                <w:sz w:val="20"/>
                <w:szCs w:val="20"/>
              </w:rPr>
              <w:br/>
              <w:t>House Transportation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w:instrText>
            </w:r>
            <w:r>
              <w:rPr>
                <w:rFonts w:ascii="Arial" w:eastAsia="Times New Roman" w:hAnsi="Arial" w:cs="Arial"/>
                <w:sz w:val="20"/>
                <w:szCs w:val="20"/>
              </w:rPr>
              <w:instrText>017-2018/pdf/SB0300.pdf"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SB300/HB179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FF3C61">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"https://tls.mleesmith.com/2017-2018/pdf/SB0300.pdf"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FF3C61">
            <w:pPr>
              <w:pStyle w:val="Heading3"/>
            </w:pPr>
            <w:r>
              <w:rPr>
                <w:rFonts w:ascii="Arial" w:eastAsia="Times New Roman" w:hAnsi="Arial" w:cs="Arial"/>
                <w:color w:val="000000"/>
              </w:rPr>
              <w:t xml:space="preserve">Designates portion of State Route 28 as a scenic highway. </w:t>
            </w:r>
          </w:p>
          <w:p w:rsidR="00000000" w:rsidRDefault="00FF3C61">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Sen. Bowling, Janice , Rep. Travis, Ron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Designates the portion of State Route 28, beginning from its intersection with Interstate Highway 40 in Crossville in Cumberland County southward through Dunlap in Sequatchie County, and ending at its intersection with Interstate Highway 24 in Jasper in Ma</w:t>
            </w:r>
            <w:r>
              <w:rPr>
                <w:rFonts w:ascii="Arial" w:eastAsia="Times New Roman" w:hAnsi="Arial" w:cs="Arial"/>
                <w:color w:val="000000"/>
                <w:sz w:val="20"/>
                <w:szCs w:val="20"/>
              </w:rPr>
              <w:t xml:space="preserve">rion County, as the Sequatchie Valley Scenic Highway.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14, 2017) Increase State Expenditures - $2,400/One-Time/Highway Fund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S: 02/02/17, H: 02/01/17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02/06/17 - Referred to Senate Transportati</w:t>
            </w:r>
            <w:r>
              <w:rPr>
                <w:rFonts w:ascii="Arial" w:eastAsia="Times New Roman" w:hAnsi="Arial" w:cs="Arial"/>
                <w:color w:val="000000"/>
                <w:sz w:val="20"/>
                <w:szCs w:val="20"/>
              </w:rPr>
              <w:t xml:space="preserve">on &amp; Safety 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 xml:space="preserve">02/22/17 - Taken off notice in House Transportation Subcommittee </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Wed 2/22/17 12:00pm - LP 16, House Transportation Subcommittee</w:t>
            </w:r>
          </w:p>
        </w:tc>
      </w:tr>
      <w:tr w:rsidR="00000000">
        <w:trPr>
          <w:tblCellSpacing w:w="15" w:type="dxa"/>
        </w:trPr>
        <w:tc>
          <w:tcPr>
            <w:tcW w:w="0" w:type="auto"/>
            <w:tcMar>
              <w:top w:w="0" w:type="dxa"/>
              <w:left w:w="0" w:type="dxa"/>
              <w:bottom w:w="0" w:type="dxa"/>
              <w:right w:w="0" w:type="dxa"/>
            </w:tcMar>
            <w:hideMark/>
          </w:tcPr>
          <w:p w:rsidR="00000000" w:rsidRDefault="00FF3C61">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FF3C61">
            <w:pPr>
              <w:rPr>
                <w:rFonts w:ascii="Arial" w:eastAsia="Times New Roman" w:hAnsi="Arial" w:cs="Arial"/>
                <w:color w:val="000000"/>
                <w:sz w:val="20"/>
                <w:szCs w:val="20"/>
              </w:rPr>
            </w:pPr>
            <w:r>
              <w:rPr>
                <w:rFonts w:ascii="Arial" w:eastAsia="Times New Roman" w:hAnsi="Arial" w:cs="Arial"/>
                <w:color w:val="000000"/>
                <w:sz w:val="20"/>
                <w:szCs w:val="20"/>
              </w:rPr>
              <w:t>Senate Transportation &amp; Safety Committee</w:t>
            </w:r>
            <w:r>
              <w:rPr>
                <w:rFonts w:ascii="Arial" w:eastAsia="Times New Roman" w:hAnsi="Arial" w:cs="Arial"/>
                <w:color w:val="000000"/>
                <w:sz w:val="20"/>
                <w:szCs w:val="20"/>
              </w:rPr>
              <w:br/>
            </w:r>
            <w:r>
              <w:rPr>
                <w:rFonts w:ascii="Arial" w:eastAsia="Times New Roman" w:hAnsi="Arial" w:cs="Arial"/>
                <w:color w:val="000000"/>
                <w:sz w:val="20"/>
                <w:szCs w:val="20"/>
              </w:rPr>
              <w:t>House Transportation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"https://tls.mleesmith.com/2017-2018/pdf/SB0383.pdf"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SB383/HB700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"https://tls.mleesmith.com/2017-2018/pdf/SB0383.pdf"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Storm water user's fee exemptions.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Brooks, Kevin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Exempts LEAs from paying graduated storm water user’s fee.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02/06/17, H: 02/09/17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Energy, Agriculture &amp; Natural Resources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HYPERLINK "https://tls.mleesmith.com/2017-2018/pdf/SB0464.pdf"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SB464/HB58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"https://tls.mleesmith.com/2017-2018/pdf/SB0464.pdf"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Open records requests.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Rogers, Courtney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Rewrites language to require a records custodian that requires a request for copies of public records to be in writing, to accept handwritten request, mail request, email request, and provide an electronic form request that shall be developed by the office of open records counsel, as expeditiously as possible. Also requires persons who wish to view or copy public records, to present a valid form of identification to a records custodian.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House State Government Subcommittee amendment 1 (003739) specifies that a records custodian may require a request for copies of public records to be on a form developed by the agency. Also requires the records custodian to provide such form in the most expeditious means possible when the form is requested.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02/23/17 - Set for Senate State &amp; Local Government Committee 02/28/17.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02/23/17 - Set for House State Government Committee 02/28/17.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Wed 2/15/17 1:30pm - LP 29, House State Government Subcommittee</w:t>
            </w:r>
            <w:r>
              <w:rPr>
                <w:rFonts w:ascii="Arial" w:eastAsia="Times New Roman" w:hAnsi="Arial" w:cs="Arial"/>
                <w:color w:val="000000"/>
                <w:sz w:val="20"/>
                <w:szCs w:val="20"/>
              </w:rPr>
              <w:br/>
              <w:t>Tue 2/21/17 12:00pm - LP 29, House State Government Committee</w:t>
            </w:r>
            <w:r>
              <w:rPr>
                <w:rFonts w:ascii="Arial" w:eastAsia="Times New Roman" w:hAnsi="Arial" w:cs="Arial"/>
                <w:color w:val="000000"/>
                <w:sz w:val="20"/>
                <w:szCs w:val="20"/>
              </w:rPr>
              <w:br/>
              <w:t>Tue 2/28/17 12:00pm - LP 29, House State Government Committee</w:t>
            </w:r>
            <w:r>
              <w:rPr>
                <w:rFonts w:ascii="Arial" w:eastAsia="Times New Roman" w:hAnsi="Arial" w:cs="Arial"/>
                <w:color w:val="000000"/>
                <w:sz w:val="20"/>
                <w:szCs w:val="20"/>
              </w:rPr>
              <w:br/>
              <w:t>Tue 2/28/17 10:30am - LP 12, Senate State &amp; Local Government Committee</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Senate State &amp; Local Government Committee</w:t>
            </w:r>
            <w:r>
              <w:rPr>
                <w:rFonts w:ascii="Arial" w:eastAsia="Times New Roman" w:hAnsi="Arial" w:cs="Arial"/>
                <w:color w:val="000000"/>
                <w:sz w:val="20"/>
                <w:szCs w:val="20"/>
              </w:rPr>
              <w:br/>
              <w:t>House State Government 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"https://tls.mleesmith.com/2017-2018/pdf/SB0466.pdf"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SB466/HB74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"https://tls.mleesmith.com/2017-2018/pdf/SB0466.pdf"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Boundaries on the Duck River.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Howell, Dan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Rewrites language that requires the department of environment and conservation to establish boundaries on the duck river, based upon the consent of the owner of any affected private lands. (Broadly Captioned)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January 23,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Energy, Agriculture &amp; Natural Resources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"https://tls.mleesmith.com/2017-2018/pdf/SB0548.pdf"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SB548/HB406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"https://tls.mleesmith.com/2017-2018/pdf/SB0548.pdf"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Public Participation Protection Act.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Ketron</w:t>
            </w:r>
            <w:proofErr w:type="spellEnd"/>
            <w:r>
              <w:rPr>
                <w:rFonts w:ascii="Arial" w:eastAsia="Times New Roman" w:hAnsi="Arial" w:cs="Arial"/>
                <w:color w:val="000000"/>
                <w:sz w:val="20"/>
                <w:szCs w:val="20"/>
              </w:rPr>
              <w:t xml:space="preserve">, Bill , Rep. Carter, Mike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Establishes protection of persons exercising rights of expression, including constitutional rights of expression on matters of public concern. Specifies civil procedures that encourage and safeguard the constitutional rights of persons to participate in government to the maximum extent permitted by law and also protect the rights of persons to file meritorious lawsuits for demonstrable injury.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H: 02/06/17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Judiciary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Civil Justice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Judiciary Committee</w:t>
            </w:r>
            <w:r>
              <w:rPr>
                <w:rFonts w:ascii="Arial" w:eastAsia="Times New Roman" w:hAnsi="Arial" w:cs="Arial"/>
                <w:color w:val="000000"/>
                <w:sz w:val="20"/>
                <w:szCs w:val="20"/>
              </w:rPr>
              <w:br/>
              <w:t>House Civil Justice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"https://tls.mleesmith.com/2017-2018/pdf/SB0696.pdf"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lastRenderedPageBreak/>
              <w:t xml:space="preserve">SB696/HB430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HYPERLINK "https://tls.mleesmith.com/2017-2018/pdf/SB0696.pdf"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lastRenderedPageBreak/>
              <w:t xml:space="preserve">Additions to the state scenic rivers system.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lastRenderedPageBreak/>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w:t>
            </w:r>
            <w:proofErr w:type="spellStart"/>
            <w:r>
              <w:rPr>
                <w:rFonts w:ascii="Arial" w:eastAsia="Times New Roman" w:hAnsi="Arial" w:cs="Arial"/>
                <w:color w:val="000000"/>
                <w:sz w:val="20"/>
                <w:szCs w:val="20"/>
              </w:rPr>
              <w:t>Yager</w:t>
            </w:r>
            <w:proofErr w:type="spellEnd"/>
            <w:r>
              <w:rPr>
                <w:rFonts w:ascii="Arial" w:eastAsia="Times New Roman" w:hAnsi="Arial" w:cs="Arial"/>
                <w:color w:val="000000"/>
                <w:sz w:val="20"/>
                <w:szCs w:val="20"/>
              </w:rPr>
              <w:t xml:space="preserve">, Ken , Rep. Travis, Ron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Allows the commissioner of environment and conservation to recommend additions to the state scenic rivers system. Requires such proposals be posted on the official state website within five business days of their submission to the governor and general assembly.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12,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02/06/17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"https://tls.mleesmith.com/2017-2018/pdf/SB0776.pdf"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SB776/HB816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"https://tls.mleesmith.com/2017-2018/pdf/SB0776.pdf"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Creates the Memphis sands aquifer regional management board.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Sen. Kelsey, Brian , Rep. </w:t>
            </w:r>
            <w:proofErr w:type="spellStart"/>
            <w:r>
              <w:rPr>
                <w:rFonts w:ascii="Arial" w:eastAsia="Times New Roman" w:hAnsi="Arial" w:cs="Arial"/>
                <w:color w:val="000000"/>
                <w:sz w:val="20"/>
                <w:szCs w:val="20"/>
              </w:rPr>
              <w:t>Lollar</w:t>
            </w:r>
            <w:proofErr w:type="spellEnd"/>
            <w:r>
              <w:rPr>
                <w:rFonts w:ascii="Arial" w:eastAsia="Times New Roman" w:hAnsi="Arial" w:cs="Arial"/>
                <w:color w:val="000000"/>
                <w:sz w:val="20"/>
                <w:szCs w:val="20"/>
              </w:rPr>
              <w:t xml:space="preserve">, Ron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Creates the Memphis sands aquifer regional management board consisting of nine members. Specifies membership of board and powers of board.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Government Operations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"https://tls.mleesmith.com/2017-2018/pdf/SB0794.pdf"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SB794/HB464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"https://tls.mleesmith.com/2017-2018/pdf/SB0794.pdf"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Property Assessed Clean Energy Act.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Dickerson, Steven , Rep. Staples, Rick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Authorizes local governments to impose assessments to repay the financing of qualified projects on real properties located in a region. Specifies that such assessments shall only occur after entering into a written contract with the record owner of the real property and providing notice to each lien holder. Specifies that the assessment may include costs of material in labor, fees associated with program application and administration, and third party fees such as the costs to the property owner. Establishes the procedures for the creation of a PACE program by a local government. (15pp).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02/08/17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"https://tls.mleesmith.com/2017-2018/pdf/SB1217.pdf"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SB1217/HB326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"https://tls.mleesmith.com/2017-2018/pdf/SB1217.pdf"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UAPA - rules that may constitute unreasonable restraints of trade.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Authorizes commissioners and chief executive officers of administrative departments under which regulatory boards operate to review and either approve or veto rules that may constitute unreasonable restraints of trade.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Amendment 1 (003940) Senate Government Operations- Deletes and rewrites the original bill such that the only substantive change authorizes the Government </w:t>
            </w:r>
            <w:r>
              <w:rPr>
                <w:rFonts w:ascii="Arial" w:eastAsia="Times New Roman" w:hAnsi="Arial" w:cs="Arial"/>
                <w:color w:val="000000"/>
                <w:sz w:val="20"/>
                <w:szCs w:val="20"/>
              </w:rPr>
              <w:lastRenderedPageBreak/>
              <w:t xml:space="preserve">Operations Committees of the House of Representatives and the Senate to conduct a hearing regarding any vetoed rule at a regularly-scheduled meeting of the Committees.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lastRenderedPageBreak/>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18,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02/02/17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02/23/17 - Set for Senate Government Operations Committee 03/01/17.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02/22/17 - House Government Operations Committee deferred to 03/08/17 after adopting amendment 1 (003940).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Wed 2/22/17 9:30am - LP 12, Senate Government Operations Committee</w:t>
            </w:r>
            <w:r>
              <w:rPr>
                <w:rFonts w:ascii="Arial" w:eastAsia="Times New Roman" w:hAnsi="Arial" w:cs="Arial"/>
                <w:color w:val="000000"/>
                <w:sz w:val="20"/>
                <w:szCs w:val="20"/>
              </w:rPr>
              <w:br/>
              <w:t>Wed 2/22/17 12:00pm - LP 30, House Government Operations Committee Regular Calendar</w:t>
            </w:r>
            <w:r>
              <w:rPr>
                <w:rFonts w:ascii="Arial" w:eastAsia="Times New Roman" w:hAnsi="Arial" w:cs="Arial"/>
                <w:color w:val="000000"/>
                <w:sz w:val="20"/>
                <w:szCs w:val="20"/>
              </w:rPr>
              <w:br/>
              <w:t>Wed 3/1/17 8:30am - LP 12, Senate Government Operations Committee</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Senate Government Operations Committee</w:t>
            </w:r>
            <w:r>
              <w:rPr>
                <w:rFonts w:ascii="Arial" w:eastAsia="Times New Roman" w:hAnsi="Arial" w:cs="Arial"/>
                <w:color w:val="000000"/>
                <w:sz w:val="20"/>
                <w:szCs w:val="20"/>
              </w:rPr>
              <w:br/>
              <w:t>House Government Operations 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"https://tls.mleesmith.com/2017-2018/pdf/SB1221.pdf"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SB1221/HB534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"https://tls.mleesmith.com/2017-2018/pdf/SB1221.pdf"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Returned revenue related to liquefied gas used.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w:t>
            </w:r>
            <w:proofErr w:type="spellStart"/>
            <w:r>
              <w:rPr>
                <w:rFonts w:ascii="Arial" w:eastAsia="Times New Roman" w:hAnsi="Arial" w:cs="Arial"/>
                <w:color w:val="000000"/>
                <w:sz w:val="20"/>
                <w:szCs w:val="20"/>
              </w:rPr>
              <w:t>Casada</w:t>
            </w:r>
            <w:proofErr w:type="spellEnd"/>
            <w:r>
              <w:rPr>
                <w:rFonts w:ascii="Arial" w:eastAsia="Times New Roman" w:hAnsi="Arial" w:cs="Arial"/>
                <w:color w:val="000000"/>
                <w:sz w:val="20"/>
                <w:szCs w:val="20"/>
              </w:rPr>
              <w:t xml:space="preserve">, Glen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Caption for the Governor’s IMPROVE Act.</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16,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02/09/17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Transportation.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02/23/17 - Set for House Transportation Subcommittee 03/01/17.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Wed 2/22/17 12:00pm - LP 16, House Transportation Subcommittee</w:t>
            </w:r>
            <w:r>
              <w:rPr>
                <w:rFonts w:ascii="Arial" w:eastAsia="Times New Roman" w:hAnsi="Arial" w:cs="Arial"/>
                <w:color w:val="000000"/>
                <w:sz w:val="20"/>
                <w:szCs w:val="20"/>
              </w:rPr>
              <w:br/>
              <w:t>Wed 3/1/17 12:00pm - LP 16, House Transportation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Transportation &amp; Safety Committee</w:t>
            </w:r>
            <w:r>
              <w:rPr>
                <w:rFonts w:ascii="Arial" w:eastAsia="Times New Roman" w:hAnsi="Arial" w:cs="Arial"/>
                <w:color w:val="000000"/>
                <w:sz w:val="20"/>
                <w:szCs w:val="20"/>
              </w:rPr>
              <w:br/>
              <w:t>House Transportation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"https://tls.mleesmith.com/2017-2018/pdf/SB1235.pdf"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SB1235/HB874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"https://tls.mleesmith.com/2017-2018/pdf/SB1235.pdf"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Expansion of the tax credit allowed for the purchase of brownfield property.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Akbari, </w:t>
            </w:r>
            <w:proofErr w:type="spellStart"/>
            <w:r>
              <w:rPr>
                <w:rFonts w:ascii="Arial" w:eastAsia="Times New Roman" w:hAnsi="Arial" w:cs="Arial"/>
                <w:color w:val="000000"/>
                <w:sz w:val="20"/>
                <w:szCs w:val="20"/>
              </w:rPr>
              <w:t>Raumesh</w:t>
            </w:r>
            <w:proofErr w:type="spellEnd"/>
            <w:r>
              <w:rPr>
                <w:rFonts w:ascii="Arial" w:eastAsia="Times New Roman" w:hAnsi="Arial" w:cs="Arial"/>
                <w:color w:val="000000"/>
                <w:sz w:val="20"/>
                <w:szCs w:val="20"/>
              </w:rPr>
              <w:t xml:space="preserv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Makes revisions to tax credits, such as expanding the tax credit allowed for the purchase of brownfield property to include real property that was previously the subject of an investigation or remediation as a brownfield project under a voluntary agreement or consent order.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02/17/17 - Referred to House Local Government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State &amp; Local Government Committee</w:t>
            </w:r>
            <w:r>
              <w:rPr>
                <w:rFonts w:ascii="Arial" w:eastAsia="Times New Roman" w:hAnsi="Arial" w:cs="Arial"/>
                <w:color w:val="000000"/>
                <w:sz w:val="20"/>
                <w:szCs w:val="20"/>
              </w:rPr>
              <w:br/>
              <w:t>House Local Government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"https://tls.mleesmith.com/2017-2018/pdf/SB1336.pdf"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SB1336/HB1021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"https://tls.mleesmith.com/2017-2018/pdf/SB1336.pdf"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Wind farm sites.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Bailey, Paul , Rep. Sexton, Cameron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Urges the department of environment and conservation to study energy facility siting laws in other states that apply specifically to wind projects. Within ninety (90) days from the conclusion of any study, the department shall submit a written summary of those laws that require or allow a state to regulate wind energy facility siting to the agriculture and natural resources committee of the house of representatives and the energy, agriculture and natural resources committee of the senate.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02/13/17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lastRenderedPageBreak/>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Energy, Agriculture &amp; Natural Resources 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Agriculture &amp; Natural Resources Subcommittee.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Energy, Agriculture &amp; Natural Resources Committee</w:t>
            </w:r>
            <w:r>
              <w:rPr>
                <w:rFonts w:ascii="Arial" w:eastAsia="Times New Roman" w:hAnsi="Arial" w:cs="Arial"/>
                <w:color w:val="000000"/>
                <w:sz w:val="20"/>
                <w:szCs w:val="20"/>
              </w:rPr>
              <w:br/>
              <w:t>House Agriculture &amp; Natural Resources Subcommittee</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"https://tls.mleesmith.com/2017-2018/pdf/SJR0057.pdf"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SJR57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"https://tls.mleesmith.com/2017-2018/pdf/SJR0057.pdf"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Constitutional amendment - popular election of attorney general.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Sen. Beavers, Mae ,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Proposes amendment of Article VI, Section 5 to provide for popular election of the attorney general and reporter for a regular term of six years.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14, 2017) Increase State Expenditures – $9,100/One-Time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02/01/17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02/23/17 - Set for Senate Judiciary Committee Regular Calendar 02/28/17.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Tue 2/21/17 3:30pm - LP 12, Senate Judiciary Committee</w:t>
            </w:r>
            <w:r>
              <w:rPr>
                <w:rFonts w:ascii="Arial" w:eastAsia="Times New Roman" w:hAnsi="Arial" w:cs="Arial"/>
                <w:color w:val="000000"/>
                <w:sz w:val="20"/>
                <w:szCs w:val="20"/>
              </w:rPr>
              <w:br/>
              <w:t>Tue 2/28/17 3:30pm - LP 12, Senate Judiciary Committee Regular Calendar</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Committees: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Senate Judiciary Committee Regular Calendar</w:t>
            </w:r>
          </w:p>
        </w:tc>
      </w:tr>
      <w:tr w:rsidR="00740E5E">
        <w:trPr>
          <w:tblCellSpacing w:w="15" w:type="dxa"/>
        </w:trPr>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"https://tls.mleesmith.com/2017-2018/pdf/SJR0059.pdf"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SJR59 </w:t>
            </w:r>
          </w:p>
          <w:p w:rsidR="00740E5E" w:rsidRDefault="00740E5E">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740E5E" w:rsidRDefault="00740E5E">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"https://tls.mleesmith.com/2017-2018/pdf/SJR0059.pdf" </w:instrText>
            </w:r>
            <w:r>
              <w:rPr>
                <w:rFonts w:ascii="Arial" w:eastAsia="Times New Roman" w:hAnsi="Arial" w:cs="Arial"/>
                <w:sz w:val="20"/>
                <w:szCs w:val="20"/>
              </w:rPr>
              <w:fldChar w:fldCharType="separate"/>
            </w:r>
          </w:p>
          <w:p w:rsidR="00740E5E" w:rsidRDefault="00740E5E">
            <w:pPr>
              <w:pStyle w:val="Heading3"/>
            </w:pPr>
            <w:r>
              <w:rPr>
                <w:rFonts w:ascii="Arial" w:eastAsia="Times New Roman" w:hAnsi="Arial" w:cs="Arial"/>
                <w:color w:val="000000"/>
              </w:rPr>
              <w:t xml:space="preserve">Federal transportation funding to the states. </w:t>
            </w:r>
          </w:p>
          <w:p w:rsidR="00740E5E" w:rsidRDefault="00740E5E">
            <w:pPr>
              <w:rPr>
                <w:rFonts w:ascii="Arial" w:eastAsia="Times New Roman" w:hAnsi="Arial" w:cs="Arial"/>
                <w:color w:val="000000"/>
                <w:sz w:val="20"/>
                <w:szCs w:val="20"/>
              </w:rPr>
            </w:pPr>
            <w:r>
              <w:rPr>
                <w:rFonts w:ascii="Arial" w:eastAsia="Times New Roman" w:hAnsi="Arial" w:cs="Arial"/>
                <w:sz w:val="20"/>
                <w:szCs w:val="20"/>
              </w:rPr>
              <w:fldChar w:fldCharType="end"/>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color w:val="000000"/>
                <w:sz w:val="20"/>
                <w:szCs w:val="20"/>
              </w:rPr>
              <w:t xml:space="preserve">Sen. Beavers, Mae ,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Urges President Donald J. Trump and Congress to distribute federal transportation funding to the states by block grant.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 2017) NOT SIGNIFICANT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S: 02/01/17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 xml:space="preserve">02/16/17 - Senate adopted. </w:t>
            </w:r>
          </w:p>
        </w:tc>
      </w:tr>
      <w:tr w:rsidR="00740E5E">
        <w:trPr>
          <w:tblCellSpacing w:w="15" w:type="dxa"/>
        </w:trPr>
        <w:tc>
          <w:tcPr>
            <w:tcW w:w="0" w:type="auto"/>
            <w:tcMar>
              <w:top w:w="0" w:type="dxa"/>
              <w:left w:w="0" w:type="dxa"/>
              <w:bottom w:w="0" w:type="dxa"/>
              <w:right w:w="0" w:type="dxa"/>
            </w:tcMar>
            <w:hideMark/>
          </w:tcPr>
          <w:p w:rsidR="00740E5E" w:rsidRDefault="00740E5E">
            <w:pPr>
              <w:rPr>
                <w:rFonts w:ascii="Arial" w:eastAsia="Times New Roman" w:hAnsi="Arial" w:cs="Arial"/>
                <w:sz w:val="20"/>
                <w:szCs w:val="20"/>
              </w:rPr>
            </w:pPr>
            <w:r>
              <w:rPr>
                <w:rFonts w:ascii="Arial" w:eastAsia="Times New Roman" w:hAnsi="Arial" w:cs="Arial"/>
                <w:i/>
                <w:iCs/>
                <w:sz w:val="20"/>
                <w:szCs w:val="20"/>
              </w:rPr>
              <w:t>Meetings: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740E5E" w:rsidRDefault="00740E5E">
            <w:pPr>
              <w:rPr>
                <w:rFonts w:ascii="Arial" w:eastAsia="Times New Roman" w:hAnsi="Arial" w:cs="Arial"/>
                <w:color w:val="000000"/>
                <w:sz w:val="20"/>
                <w:szCs w:val="20"/>
              </w:rPr>
            </w:pPr>
            <w:r>
              <w:rPr>
                <w:rFonts w:ascii="Arial" w:eastAsia="Times New Roman" w:hAnsi="Arial" w:cs="Arial"/>
                <w:color w:val="000000"/>
                <w:sz w:val="20"/>
                <w:szCs w:val="20"/>
              </w:rPr>
              <w:t>Tue 2/14/17 8:30am - LP 12, Senate Finance, Ways &amp; Means Committee</w:t>
            </w:r>
            <w:r>
              <w:rPr>
                <w:rFonts w:ascii="Arial" w:eastAsia="Times New Roman" w:hAnsi="Arial" w:cs="Arial"/>
                <w:color w:val="000000"/>
                <w:sz w:val="20"/>
                <w:szCs w:val="20"/>
              </w:rPr>
              <w:br/>
              <w:t>Thu 2/16/17 8:30am - Senate Chamber, Senate Floor</w:t>
            </w: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r w:rsidR="00740E5E" w:rsidTr="00EB108A">
        <w:trPr>
          <w:tblCellSpacing w:w="15" w:type="dxa"/>
        </w:trPr>
        <w:tc>
          <w:tcPr>
            <w:tcW w:w="0" w:type="auto"/>
            <w:tcMar>
              <w:top w:w="0" w:type="dxa"/>
              <w:left w:w="0" w:type="dxa"/>
              <w:bottom w:w="0" w:type="dxa"/>
              <w:right w:w="0" w:type="dxa"/>
            </w:tcMar>
          </w:tcPr>
          <w:p w:rsidR="00740E5E" w:rsidRDefault="00740E5E">
            <w:pPr>
              <w:rPr>
                <w:rFonts w:ascii="Arial" w:eastAsia="Times New Roman" w:hAnsi="Arial" w:cs="Arial"/>
                <w:sz w:val="20"/>
                <w:szCs w:val="20"/>
              </w:rPr>
            </w:pPr>
          </w:p>
        </w:tc>
        <w:tc>
          <w:tcPr>
            <w:tcW w:w="0" w:type="auto"/>
            <w:tcMar>
              <w:top w:w="0" w:type="dxa"/>
              <w:left w:w="0" w:type="dxa"/>
              <w:bottom w:w="0" w:type="dxa"/>
              <w:right w:w="0" w:type="dxa"/>
            </w:tcMar>
          </w:tcPr>
          <w:p w:rsidR="00740E5E" w:rsidRDefault="00740E5E">
            <w:pPr>
              <w:rPr>
                <w:rFonts w:ascii="Arial" w:eastAsia="Times New Roman" w:hAnsi="Arial" w:cs="Arial"/>
                <w:color w:val="000000"/>
                <w:sz w:val="20"/>
                <w:szCs w:val="20"/>
              </w:rPr>
            </w:pPr>
          </w:p>
        </w:tc>
      </w:tr>
    </w:tbl>
    <w:p w:rsidR="00FF3C61" w:rsidRDefault="00FF3C61" w:rsidP="00740E5E">
      <w:pPr>
        <w:rPr>
          <w:rFonts w:ascii="Arial" w:eastAsia="Times New Roman" w:hAnsi="Arial" w:cs="Arial"/>
          <w:sz w:val="20"/>
          <w:szCs w:val="20"/>
        </w:rPr>
      </w:pPr>
    </w:p>
    <w:sectPr w:rsidR="00FF3C61" w:rsidSect="0092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40EA"/>
    <w:rsid w:val="00740E5E"/>
    <w:rsid w:val="009240EA"/>
    <w:rsid w:val="00AE518D"/>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F79B8"/>
  <w15:chartTrackingRefBased/>
  <w15:docId w15:val="{50BA991D-116E-431F-8311-0C63A1D4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133B-82F8-48A9-B7B3-E98A5C59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2</cp:revision>
  <dcterms:created xsi:type="dcterms:W3CDTF">2017-02-25T17:38:00Z</dcterms:created>
  <dcterms:modified xsi:type="dcterms:W3CDTF">2017-02-25T17:38:00Z</dcterms:modified>
</cp:coreProperties>
</file>