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770" w:rsidRDefault="00033770" w:rsidP="00033770">
      <w:pPr>
        <w:ind w:left="720" w:right="900"/>
        <w:jc w:val="center"/>
        <w:rPr>
          <w:rFonts w:ascii="Arial Black" w:hAnsi="Arial Black"/>
          <w:b/>
          <w:color w:val="365F91" w:themeColor="accent1" w:themeShade="BF"/>
        </w:rPr>
      </w:pPr>
      <w:r w:rsidRPr="00033770">
        <w:rPr>
          <w:rFonts w:ascii="Arial Black" w:hAnsi="Arial Black"/>
          <w:b/>
          <w:color w:val="365F91" w:themeColor="accent1" w:themeShade="BF"/>
        </w:rPr>
        <w:t xml:space="preserve">2017 ISM – New York’s Annual Conference </w:t>
      </w:r>
    </w:p>
    <w:p w:rsidR="00BA7467" w:rsidRPr="00033770" w:rsidRDefault="009E73EA" w:rsidP="00033770">
      <w:pPr>
        <w:ind w:left="720" w:right="900"/>
        <w:jc w:val="center"/>
        <w:rPr>
          <w:rFonts w:ascii="Arial Black" w:hAnsi="Arial Black"/>
          <w:b/>
          <w:color w:val="365F91" w:themeColor="accent1" w:themeShade="BF"/>
        </w:rPr>
      </w:pPr>
      <w:r>
        <w:rPr>
          <w:rFonts w:ascii="Arial Black" w:hAnsi="Arial Black"/>
          <w:b/>
          <w:color w:val="365F91" w:themeColor="accent1" w:themeShade="BF"/>
        </w:rPr>
        <w:t>Speaker Bio</w:t>
      </w:r>
      <w:r w:rsidR="00033770" w:rsidRPr="00033770">
        <w:rPr>
          <w:rFonts w:ascii="Arial Black" w:hAnsi="Arial Black"/>
          <w:b/>
          <w:color w:val="365F91" w:themeColor="accent1" w:themeShade="BF"/>
        </w:rPr>
        <w:t>s</w:t>
      </w:r>
    </w:p>
    <w:p w:rsidR="00033770" w:rsidRPr="00033770" w:rsidRDefault="00033770" w:rsidP="00033770">
      <w:pPr>
        <w:ind w:left="720" w:right="900"/>
        <w:jc w:val="center"/>
        <w:rPr>
          <w:b/>
        </w:rPr>
      </w:pPr>
      <w:bookmarkStart w:id="0" w:name="_GoBack"/>
      <w:bookmarkEnd w:id="0"/>
    </w:p>
    <w:p w:rsidR="00033770" w:rsidRDefault="00033770" w:rsidP="003665F0">
      <w:pPr>
        <w:ind w:left="720" w:right="900"/>
      </w:pPr>
    </w:p>
    <w:tbl>
      <w:tblPr>
        <w:tblStyle w:val="TableGrid"/>
        <w:tblW w:w="4840" w:type="pct"/>
        <w:tblLayout w:type="fixed"/>
        <w:tblLook w:val="04A0" w:firstRow="1" w:lastRow="0" w:firstColumn="1" w:lastColumn="0" w:noHBand="0" w:noVBand="1"/>
      </w:tblPr>
      <w:tblGrid>
        <w:gridCol w:w="3744"/>
        <w:gridCol w:w="6885"/>
      </w:tblGrid>
      <w:tr w:rsidR="00A7775E" w:rsidRPr="00033770" w:rsidTr="009D0F99">
        <w:tc>
          <w:tcPr>
            <w:tcW w:w="1761" w:type="pct"/>
            <w:tcBorders>
              <w:top w:val="nil"/>
              <w:left w:val="nil"/>
              <w:bottom w:val="nil"/>
              <w:right w:val="nil"/>
            </w:tcBorders>
          </w:tcPr>
          <w:p w:rsidR="0017614A" w:rsidRDefault="009B167D" w:rsidP="009D0F99">
            <w:pPr>
              <w:jc w:val="center"/>
              <w:rPr>
                <w:b/>
                <w:bCs/>
              </w:rPr>
            </w:pPr>
            <w:r>
              <w:rPr>
                <w:noProof/>
              </w:rPr>
              <w:drawing>
                <wp:inline distT="0" distB="0" distL="0" distR="0" wp14:anchorId="03D80CA0" wp14:editId="1269113F">
                  <wp:extent cx="1752600" cy="15335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eg Iaquinto.jpg"/>
                          <pic:cNvPicPr/>
                        </pic:nvPicPr>
                        <pic:blipFill>
                          <a:blip r:embed="rId8">
                            <a:extLst>
                              <a:ext uri="{28A0092B-C50C-407E-A947-70E740481C1C}">
                                <a14:useLocalDpi xmlns:a14="http://schemas.microsoft.com/office/drawing/2010/main" val="0"/>
                              </a:ext>
                            </a:extLst>
                          </a:blip>
                          <a:stretch>
                            <a:fillRect/>
                          </a:stretch>
                        </pic:blipFill>
                        <pic:spPr>
                          <a:xfrm>
                            <a:off x="0" y="0"/>
                            <a:ext cx="1763371" cy="1542950"/>
                          </a:xfrm>
                          <a:prstGeom prst="rect">
                            <a:avLst/>
                          </a:prstGeom>
                        </pic:spPr>
                      </pic:pic>
                    </a:graphicData>
                  </a:graphic>
                </wp:inline>
              </w:drawing>
            </w:r>
            <w:r w:rsidR="0017614A">
              <w:rPr>
                <w:b/>
                <w:bCs/>
                <w:noProof/>
              </w:rPr>
              <w:drawing>
                <wp:inline distT="0" distB="0" distL="0" distR="0" wp14:anchorId="6D4DD1B8" wp14:editId="5D737794">
                  <wp:extent cx="2140264"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B_WORDMARK_Tag_Pantone Center.jpg"/>
                          <pic:cNvPicPr/>
                        </pic:nvPicPr>
                        <pic:blipFill>
                          <a:blip r:embed="rId9">
                            <a:extLst>
                              <a:ext uri="{28A0092B-C50C-407E-A947-70E740481C1C}">
                                <a14:useLocalDpi xmlns:a14="http://schemas.microsoft.com/office/drawing/2010/main" val="0"/>
                              </a:ext>
                            </a:extLst>
                          </a:blip>
                          <a:stretch>
                            <a:fillRect/>
                          </a:stretch>
                        </pic:blipFill>
                        <pic:spPr>
                          <a:xfrm>
                            <a:off x="0" y="0"/>
                            <a:ext cx="2246570" cy="719863"/>
                          </a:xfrm>
                          <a:prstGeom prst="rect">
                            <a:avLst/>
                          </a:prstGeom>
                        </pic:spPr>
                      </pic:pic>
                    </a:graphicData>
                  </a:graphic>
                </wp:inline>
              </w:drawing>
            </w:r>
          </w:p>
        </w:tc>
        <w:tc>
          <w:tcPr>
            <w:tcW w:w="3239" w:type="pct"/>
            <w:tcBorders>
              <w:top w:val="nil"/>
              <w:left w:val="nil"/>
              <w:bottom w:val="nil"/>
              <w:right w:val="nil"/>
            </w:tcBorders>
          </w:tcPr>
          <w:p w:rsidR="0017614A" w:rsidRPr="007F5A43" w:rsidRDefault="00372DC5" w:rsidP="00033770">
            <w:pPr>
              <w:rPr>
                <w:rFonts w:ascii="Arial Black" w:hAnsi="Arial Black"/>
                <w:bCs/>
                <w:color w:val="365F91" w:themeColor="accent1" w:themeShade="BF"/>
              </w:rPr>
            </w:pPr>
            <w:r w:rsidRPr="007F5A43">
              <w:rPr>
                <w:rFonts w:ascii="Arial Black" w:hAnsi="Arial Black"/>
                <w:bCs/>
                <w:color w:val="365F91" w:themeColor="accent1" w:themeShade="BF"/>
              </w:rPr>
              <w:t>GREG IAQUINTO</w:t>
            </w:r>
          </w:p>
          <w:p w:rsidR="007F5A43" w:rsidRDefault="00372DC5" w:rsidP="00033770">
            <w:pPr>
              <w:rPr>
                <w:rFonts w:ascii="Arial" w:hAnsi="Arial" w:cs="Arial"/>
                <w:b/>
                <w:color w:val="365F91" w:themeColor="accent1" w:themeShade="BF"/>
                <w:shd w:val="clear" w:color="auto" w:fill="FFFFFF"/>
              </w:rPr>
            </w:pPr>
            <w:r w:rsidRPr="007F5A43">
              <w:rPr>
                <w:rFonts w:ascii="Arial" w:hAnsi="Arial" w:cs="Arial"/>
                <w:b/>
                <w:color w:val="365F91" w:themeColor="accent1" w:themeShade="BF"/>
                <w:shd w:val="clear" w:color="auto" w:fill="FFFFFF"/>
              </w:rPr>
              <w:t>Leader in Global Supply &amp; Risk Solutions</w:t>
            </w:r>
            <w:r w:rsidR="00132F6B" w:rsidRPr="007F5A43">
              <w:rPr>
                <w:rFonts w:ascii="Arial" w:hAnsi="Arial" w:cs="Arial"/>
                <w:b/>
                <w:color w:val="365F91" w:themeColor="accent1" w:themeShade="BF"/>
                <w:shd w:val="clear" w:color="auto" w:fill="FFFFFF"/>
              </w:rPr>
              <w:t>,</w:t>
            </w:r>
          </w:p>
          <w:p w:rsidR="0017614A" w:rsidRPr="007F5A43" w:rsidRDefault="00B72354" w:rsidP="00033770">
            <w:pPr>
              <w:rPr>
                <w:b/>
                <w:bCs/>
                <w:color w:val="365F91" w:themeColor="accent1" w:themeShade="BF"/>
                <w:sz w:val="20"/>
                <w:szCs w:val="20"/>
              </w:rPr>
            </w:pPr>
            <w:r>
              <w:rPr>
                <w:rFonts w:ascii="Arial" w:hAnsi="Arial" w:cs="Arial"/>
                <w:b/>
                <w:color w:val="365F91" w:themeColor="accent1" w:themeShade="BF"/>
                <w:shd w:val="clear" w:color="auto" w:fill="FFFFFF"/>
              </w:rPr>
              <w:t>Dun</w:t>
            </w:r>
            <w:r w:rsidR="00132F6B" w:rsidRPr="007F5A43">
              <w:rPr>
                <w:rFonts w:ascii="Arial" w:hAnsi="Arial" w:cs="Arial"/>
                <w:b/>
                <w:color w:val="365F91" w:themeColor="accent1" w:themeShade="BF"/>
                <w:shd w:val="clear" w:color="auto" w:fill="FFFFFF"/>
              </w:rPr>
              <w:t xml:space="preserve"> &amp; Bradstreet</w:t>
            </w:r>
          </w:p>
          <w:p w:rsidR="0017614A" w:rsidRPr="007F5A43" w:rsidRDefault="0017614A" w:rsidP="00033770">
            <w:pPr>
              <w:rPr>
                <w:b/>
                <w:bCs/>
                <w:color w:val="365F91" w:themeColor="accent1" w:themeShade="BF"/>
                <w:sz w:val="20"/>
                <w:szCs w:val="20"/>
              </w:rPr>
            </w:pPr>
          </w:p>
          <w:p w:rsidR="0017614A" w:rsidRPr="0014715F" w:rsidRDefault="0017614A" w:rsidP="00D27888">
            <w:pPr>
              <w:jc w:val="both"/>
              <w:rPr>
                <w:rFonts w:ascii="Arial" w:hAnsi="Arial" w:cs="Arial"/>
                <w:bCs/>
                <w:sz w:val="18"/>
                <w:szCs w:val="18"/>
              </w:rPr>
            </w:pPr>
            <w:r w:rsidRPr="0014715F">
              <w:rPr>
                <w:rFonts w:ascii="Arial" w:hAnsi="Arial" w:cs="Arial"/>
                <w:bCs/>
                <w:sz w:val="18"/>
                <w:szCs w:val="18"/>
              </w:rPr>
              <w:t xml:space="preserve">20 years in the enterprise software and content space working with customers and prospects in engineering, procurement and supply chain management organizations of several fortune 100 and 500 companies. Prior to Joining D&amp;B, Greg was responsible for product strategy and strategic partner relationships for IBM covering the B2B, commerce and procurement portfolios. Greg joined IBM through the acquisition of </w:t>
            </w:r>
            <w:proofErr w:type="spellStart"/>
            <w:r w:rsidRPr="0014715F">
              <w:rPr>
                <w:rFonts w:ascii="Arial" w:hAnsi="Arial" w:cs="Arial"/>
                <w:bCs/>
                <w:sz w:val="18"/>
                <w:szCs w:val="18"/>
              </w:rPr>
              <w:t>Emptoris</w:t>
            </w:r>
            <w:proofErr w:type="spellEnd"/>
            <w:r w:rsidRPr="0014715F">
              <w:rPr>
                <w:rFonts w:ascii="Arial" w:hAnsi="Arial" w:cs="Arial"/>
                <w:bCs/>
                <w:sz w:val="18"/>
                <w:szCs w:val="18"/>
              </w:rPr>
              <w:t xml:space="preserve"> where he was VP of product strategy for the strategic supply management suite of products.</w:t>
            </w:r>
          </w:p>
          <w:p w:rsidR="0017614A" w:rsidRPr="0014715F" w:rsidRDefault="0017614A" w:rsidP="00D27888">
            <w:pPr>
              <w:jc w:val="both"/>
              <w:rPr>
                <w:rFonts w:ascii="Arial" w:hAnsi="Arial" w:cs="Arial"/>
                <w:bCs/>
                <w:sz w:val="18"/>
                <w:szCs w:val="18"/>
              </w:rPr>
            </w:pPr>
          </w:p>
          <w:p w:rsidR="0017614A" w:rsidRPr="0014715F" w:rsidRDefault="0017614A" w:rsidP="00D27888">
            <w:pPr>
              <w:jc w:val="both"/>
              <w:rPr>
                <w:rFonts w:ascii="Arial Narrow" w:hAnsi="Arial Narrow"/>
                <w:bCs/>
                <w:sz w:val="18"/>
                <w:szCs w:val="18"/>
              </w:rPr>
            </w:pPr>
            <w:r w:rsidRPr="0014715F">
              <w:rPr>
                <w:rFonts w:ascii="Arial" w:hAnsi="Arial" w:cs="Arial"/>
                <w:bCs/>
                <w:sz w:val="18"/>
                <w:szCs w:val="18"/>
              </w:rPr>
              <w:t xml:space="preserve">Prior to working at </w:t>
            </w:r>
            <w:proofErr w:type="spellStart"/>
            <w:r w:rsidRPr="0014715F">
              <w:rPr>
                <w:rFonts w:ascii="Arial" w:hAnsi="Arial" w:cs="Arial"/>
                <w:bCs/>
                <w:sz w:val="18"/>
                <w:szCs w:val="18"/>
              </w:rPr>
              <w:t>Emptoris</w:t>
            </w:r>
            <w:proofErr w:type="spellEnd"/>
            <w:r w:rsidRPr="0014715F">
              <w:rPr>
                <w:rFonts w:ascii="Arial" w:hAnsi="Arial" w:cs="Arial"/>
                <w:bCs/>
                <w:sz w:val="18"/>
                <w:szCs w:val="18"/>
              </w:rPr>
              <w:t>, Greg has worked in the PLM arena as the Director of Product Management at PTC and Sr. Business Consultant at Agile software (now Oracle), i2 Technologies (now JDA) and Aspect Development. As a business consultant Greg was responsible for conducting strategic value assessments and providing best practice workshops that have helped many procurement and supply chain organizations across multiple verticals identify profit leakages, voids in their business processes and disconnects within their enterprises systems</w:t>
            </w:r>
            <w:r w:rsidRPr="0014715F">
              <w:rPr>
                <w:rFonts w:ascii="Arial Narrow" w:hAnsi="Arial Narrow"/>
                <w:bCs/>
                <w:sz w:val="18"/>
                <w:szCs w:val="18"/>
              </w:rPr>
              <w:t xml:space="preserve">. </w:t>
            </w:r>
          </w:p>
          <w:p w:rsidR="0017614A" w:rsidRPr="00033770" w:rsidRDefault="0017614A" w:rsidP="00033770">
            <w:pPr>
              <w:rPr>
                <w:bCs/>
                <w:sz w:val="20"/>
                <w:szCs w:val="20"/>
              </w:rPr>
            </w:pPr>
          </w:p>
        </w:tc>
      </w:tr>
      <w:tr w:rsidR="00FD29C1" w:rsidTr="009D0F99">
        <w:tc>
          <w:tcPr>
            <w:tcW w:w="1761" w:type="pct"/>
            <w:tcBorders>
              <w:top w:val="nil"/>
              <w:left w:val="nil"/>
              <w:bottom w:val="nil"/>
              <w:right w:val="nil"/>
            </w:tcBorders>
          </w:tcPr>
          <w:p w:rsidR="00FD29C1" w:rsidRDefault="00FD29C1" w:rsidP="009D0F99">
            <w:pPr>
              <w:jc w:val="center"/>
              <w:rPr>
                <w:noProof/>
              </w:rPr>
            </w:pPr>
          </w:p>
        </w:tc>
        <w:tc>
          <w:tcPr>
            <w:tcW w:w="3239" w:type="pct"/>
            <w:tcBorders>
              <w:top w:val="nil"/>
              <w:left w:val="nil"/>
              <w:bottom w:val="nil"/>
              <w:right w:val="nil"/>
            </w:tcBorders>
          </w:tcPr>
          <w:p w:rsidR="00FD29C1" w:rsidRPr="0017614A" w:rsidRDefault="00FD29C1" w:rsidP="00033770">
            <w:pPr>
              <w:rPr>
                <w:rFonts w:ascii="Arial Black" w:hAnsi="Arial Black"/>
                <w:b/>
                <w:bCs/>
                <w:color w:val="365F91" w:themeColor="accent1" w:themeShade="BF"/>
              </w:rPr>
            </w:pPr>
          </w:p>
        </w:tc>
      </w:tr>
      <w:tr w:rsidR="00931FDC" w:rsidTr="009D0F99">
        <w:tc>
          <w:tcPr>
            <w:tcW w:w="1761" w:type="pct"/>
            <w:tcBorders>
              <w:top w:val="nil"/>
              <w:left w:val="nil"/>
              <w:bottom w:val="nil"/>
              <w:right w:val="nil"/>
            </w:tcBorders>
          </w:tcPr>
          <w:p w:rsidR="0017614A" w:rsidRDefault="0014715F" w:rsidP="009D0F99">
            <w:pPr>
              <w:jc w:val="center"/>
              <w:rPr>
                <w:noProof/>
              </w:rPr>
            </w:pPr>
            <w:r>
              <w:rPr>
                <w:noProof/>
              </w:rPr>
              <w:drawing>
                <wp:anchor distT="0" distB="0" distL="114300" distR="114300" simplePos="0" relativeHeight="251661312" behindDoc="0" locked="0" layoutInCell="1" allowOverlap="1" wp14:anchorId="1F8BB56A" wp14:editId="4DBB53D6">
                  <wp:simplePos x="0" y="0"/>
                  <wp:positionH relativeFrom="column">
                    <wp:posOffset>-64770</wp:posOffset>
                  </wp:positionH>
                  <wp:positionV relativeFrom="paragraph">
                    <wp:posOffset>1832610</wp:posOffset>
                  </wp:positionV>
                  <wp:extent cx="2317115" cy="857250"/>
                  <wp:effectExtent l="0" t="0" r="698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loomberg_416x416.jpg"/>
                          <pic:cNvPicPr/>
                        </pic:nvPicPr>
                        <pic:blipFill>
                          <a:blip r:embed="rId10">
                            <a:extLst>
                              <a:ext uri="{28A0092B-C50C-407E-A947-70E740481C1C}">
                                <a14:useLocalDpi xmlns:a14="http://schemas.microsoft.com/office/drawing/2010/main" val="0"/>
                              </a:ext>
                            </a:extLst>
                          </a:blip>
                          <a:stretch>
                            <a:fillRect/>
                          </a:stretch>
                        </pic:blipFill>
                        <pic:spPr>
                          <a:xfrm>
                            <a:off x="0" y="0"/>
                            <a:ext cx="2317115" cy="857250"/>
                          </a:xfrm>
                          <a:prstGeom prst="rect">
                            <a:avLst/>
                          </a:prstGeom>
                        </pic:spPr>
                      </pic:pic>
                    </a:graphicData>
                  </a:graphic>
                  <wp14:sizeRelV relativeFrom="margin">
                    <wp14:pctHeight>0</wp14:pctHeight>
                  </wp14:sizeRelV>
                </wp:anchor>
              </w:drawing>
            </w:r>
            <w:r w:rsidR="00FE050E">
              <w:rPr>
                <w:noProof/>
              </w:rPr>
              <w:drawing>
                <wp:inline distT="0" distB="0" distL="0" distR="0" wp14:anchorId="2DF9A602" wp14:editId="5D6260EF">
                  <wp:extent cx="1819275" cy="18288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Berger head shot Global Head of Vendor Risk Management , Bloomberg, LL.jpg"/>
                          <pic:cNvPicPr/>
                        </pic:nvPicPr>
                        <pic:blipFill>
                          <a:blip r:embed="rId11">
                            <a:extLst>
                              <a:ext uri="{28A0092B-C50C-407E-A947-70E740481C1C}">
                                <a14:useLocalDpi xmlns:a14="http://schemas.microsoft.com/office/drawing/2010/main" val="0"/>
                              </a:ext>
                            </a:extLst>
                          </a:blip>
                          <a:stretch>
                            <a:fillRect/>
                          </a:stretch>
                        </pic:blipFill>
                        <pic:spPr>
                          <a:xfrm>
                            <a:off x="0" y="0"/>
                            <a:ext cx="1819275" cy="1828800"/>
                          </a:xfrm>
                          <a:prstGeom prst="rect">
                            <a:avLst/>
                          </a:prstGeom>
                        </pic:spPr>
                      </pic:pic>
                    </a:graphicData>
                  </a:graphic>
                </wp:inline>
              </w:drawing>
            </w:r>
          </w:p>
        </w:tc>
        <w:tc>
          <w:tcPr>
            <w:tcW w:w="3239" w:type="pct"/>
            <w:tcBorders>
              <w:top w:val="nil"/>
              <w:left w:val="nil"/>
              <w:bottom w:val="nil"/>
              <w:right w:val="nil"/>
            </w:tcBorders>
          </w:tcPr>
          <w:p w:rsidR="00372DC5" w:rsidRDefault="0017614A" w:rsidP="00033770">
            <w:pPr>
              <w:rPr>
                <w:rFonts w:ascii="Arial Black" w:hAnsi="Arial Black"/>
                <w:b/>
                <w:bCs/>
                <w:color w:val="365F91" w:themeColor="accent1" w:themeShade="BF"/>
              </w:rPr>
            </w:pPr>
            <w:r w:rsidRPr="0017614A">
              <w:rPr>
                <w:rFonts w:ascii="Arial Black" w:hAnsi="Arial Black"/>
                <w:b/>
                <w:bCs/>
                <w:color w:val="365F91" w:themeColor="accent1" w:themeShade="BF"/>
              </w:rPr>
              <w:t>CHRIS BERGER</w:t>
            </w:r>
          </w:p>
          <w:p w:rsidR="007F5A43" w:rsidRDefault="00FE050E" w:rsidP="00033770">
            <w:pPr>
              <w:rPr>
                <w:rFonts w:ascii="Arial" w:hAnsi="Arial" w:cs="Arial"/>
                <w:b/>
                <w:bCs/>
                <w:color w:val="365F91" w:themeColor="accent1" w:themeShade="BF"/>
              </w:rPr>
            </w:pPr>
            <w:r w:rsidRPr="00132F6B">
              <w:rPr>
                <w:rFonts w:ascii="Arial" w:hAnsi="Arial" w:cs="Arial"/>
                <w:b/>
                <w:bCs/>
                <w:color w:val="365F91" w:themeColor="accent1" w:themeShade="BF"/>
              </w:rPr>
              <w:t>Global Head of Vendor Risk Management,</w:t>
            </w:r>
          </w:p>
          <w:p w:rsidR="0017614A" w:rsidRPr="00132F6B" w:rsidRDefault="00FE050E" w:rsidP="00033770">
            <w:pPr>
              <w:rPr>
                <w:rFonts w:ascii="Arial Black" w:hAnsi="Arial Black"/>
                <w:b/>
                <w:bCs/>
                <w:color w:val="365F91" w:themeColor="accent1" w:themeShade="BF"/>
              </w:rPr>
            </w:pPr>
            <w:r w:rsidRPr="00132F6B">
              <w:rPr>
                <w:rFonts w:ascii="Arial" w:hAnsi="Arial" w:cs="Arial"/>
                <w:b/>
                <w:bCs/>
                <w:color w:val="365F91" w:themeColor="accent1" w:themeShade="BF"/>
              </w:rPr>
              <w:t>Bloomberg, LL</w:t>
            </w:r>
            <w:r w:rsidRPr="00132F6B">
              <w:rPr>
                <w:rFonts w:ascii="Arial Black" w:hAnsi="Arial Black"/>
                <w:b/>
                <w:bCs/>
                <w:color w:val="365F91" w:themeColor="accent1" w:themeShade="BF"/>
              </w:rPr>
              <w:t>.</w:t>
            </w:r>
          </w:p>
          <w:p w:rsidR="00372DC5" w:rsidRPr="00372DC5" w:rsidRDefault="00372DC5" w:rsidP="00372DC5">
            <w:pPr>
              <w:rPr>
                <w:rFonts w:ascii="Arial" w:hAnsi="Arial" w:cs="Arial"/>
                <w:bCs/>
                <w:sz w:val="18"/>
                <w:szCs w:val="18"/>
              </w:rPr>
            </w:pPr>
          </w:p>
          <w:p w:rsidR="0044536D" w:rsidRDefault="00D22925" w:rsidP="00D27888">
            <w:pPr>
              <w:jc w:val="both"/>
              <w:rPr>
                <w:rFonts w:ascii="Arial" w:hAnsi="Arial" w:cs="Arial"/>
                <w:bCs/>
                <w:sz w:val="18"/>
                <w:szCs w:val="18"/>
              </w:rPr>
            </w:pPr>
            <w:r w:rsidRPr="0014715F">
              <w:rPr>
                <w:rFonts w:ascii="Arial" w:hAnsi="Arial" w:cs="Arial"/>
                <w:bCs/>
                <w:sz w:val="18"/>
                <w:szCs w:val="18"/>
              </w:rPr>
              <w:t xml:space="preserve">Chris has over 25 years of Procurement experience as a change agent of business-wide procurement processes &amp; delivering improved business benefits. </w:t>
            </w:r>
          </w:p>
          <w:p w:rsidR="00D27888" w:rsidRPr="0014715F" w:rsidRDefault="00D27888" w:rsidP="00D27888">
            <w:pPr>
              <w:jc w:val="both"/>
              <w:rPr>
                <w:rFonts w:ascii="Arial" w:hAnsi="Arial" w:cs="Arial"/>
                <w:bCs/>
                <w:sz w:val="18"/>
                <w:szCs w:val="18"/>
              </w:rPr>
            </w:pPr>
          </w:p>
          <w:p w:rsidR="0044536D" w:rsidRPr="0014715F" w:rsidRDefault="00D22925" w:rsidP="00D27888">
            <w:pPr>
              <w:jc w:val="both"/>
              <w:rPr>
                <w:rFonts w:ascii="Arial" w:hAnsi="Arial" w:cs="Arial"/>
                <w:bCs/>
                <w:sz w:val="18"/>
                <w:szCs w:val="18"/>
              </w:rPr>
            </w:pPr>
            <w:r w:rsidRPr="0014715F">
              <w:rPr>
                <w:rFonts w:ascii="Arial" w:hAnsi="Arial" w:cs="Arial"/>
                <w:bCs/>
                <w:sz w:val="18"/>
                <w:szCs w:val="18"/>
              </w:rPr>
              <w:t xml:space="preserve">He’s had the privilege of working for companies such as AIG, A.T. Kearney, MetLife and CA Technologies.  He’s performed Source to Pay transformations at </w:t>
            </w:r>
            <w:proofErr w:type="spellStart"/>
            <w:r w:rsidRPr="0014715F">
              <w:rPr>
                <w:rFonts w:ascii="Arial" w:hAnsi="Arial" w:cs="Arial"/>
                <w:bCs/>
                <w:sz w:val="18"/>
                <w:szCs w:val="18"/>
              </w:rPr>
              <w:t>Metlife</w:t>
            </w:r>
            <w:proofErr w:type="spellEnd"/>
            <w:r w:rsidRPr="0014715F">
              <w:rPr>
                <w:rFonts w:ascii="Arial" w:hAnsi="Arial" w:cs="Arial"/>
                <w:bCs/>
                <w:sz w:val="18"/>
                <w:szCs w:val="18"/>
              </w:rPr>
              <w:t xml:space="preserve"> as Head of Global Sourcing and CA Technologies where he was CPO.</w:t>
            </w:r>
          </w:p>
          <w:p w:rsidR="00D27888" w:rsidRDefault="00D27888" w:rsidP="00D27888">
            <w:pPr>
              <w:jc w:val="both"/>
              <w:rPr>
                <w:rFonts w:ascii="Arial" w:hAnsi="Arial" w:cs="Arial"/>
                <w:bCs/>
                <w:sz w:val="18"/>
                <w:szCs w:val="18"/>
              </w:rPr>
            </w:pPr>
          </w:p>
          <w:p w:rsidR="00372DC5" w:rsidRDefault="00372DC5" w:rsidP="00D27888">
            <w:pPr>
              <w:jc w:val="both"/>
              <w:rPr>
                <w:rFonts w:ascii="Arial" w:hAnsi="Arial" w:cs="Arial"/>
                <w:bCs/>
                <w:sz w:val="18"/>
                <w:szCs w:val="18"/>
              </w:rPr>
            </w:pPr>
            <w:r w:rsidRPr="0014715F">
              <w:rPr>
                <w:rFonts w:ascii="Arial" w:hAnsi="Arial" w:cs="Arial"/>
                <w:bCs/>
                <w:sz w:val="18"/>
                <w:szCs w:val="18"/>
              </w:rPr>
              <w:t xml:space="preserve">Chris Joined Bloomberg as CPO in 2011 went on to successfully execute a Global Procurement Transformation.    </w:t>
            </w:r>
          </w:p>
          <w:p w:rsidR="00D27888" w:rsidRPr="0014715F" w:rsidRDefault="00D27888" w:rsidP="00D27888">
            <w:pPr>
              <w:jc w:val="both"/>
              <w:rPr>
                <w:rFonts w:ascii="Arial" w:hAnsi="Arial" w:cs="Arial"/>
                <w:bCs/>
                <w:sz w:val="18"/>
                <w:szCs w:val="18"/>
              </w:rPr>
            </w:pPr>
          </w:p>
          <w:p w:rsidR="00372DC5" w:rsidRPr="00372DC5" w:rsidRDefault="00372DC5" w:rsidP="00D27888">
            <w:pPr>
              <w:jc w:val="both"/>
              <w:rPr>
                <w:rFonts w:ascii="Arial" w:hAnsi="Arial" w:cs="Arial"/>
                <w:bCs/>
                <w:sz w:val="18"/>
                <w:szCs w:val="18"/>
              </w:rPr>
            </w:pPr>
            <w:r w:rsidRPr="0014715F">
              <w:rPr>
                <w:rFonts w:ascii="Arial" w:hAnsi="Arial" w:cs="Arial"/>
                <w:bCs/>
                <w:sz w:val="18"/>
                <w:szCs w:val="18"/>
              </w:rPr>
              <w:t>In 2014 he was tasked to establish a Vendor Risk Management (VRM) program and has recently been appointed as Global Head of Vendor Risk Management at Bloomberg – responsible for managing and leading the development of an enterprise-</w:t>
            </w:r>
            <w:r w:rsidRPr="00372DC5">
              <w:rPr>
                <w:rFonts w:ascii="Arial" w:hAnsi="Arial" w:cs="Arial"/>
                <w:bCs/>
                <w:sz w:val="18"/>
                <w:szCs w:val="18"/>
              </w:rPr>
              <w:t>wide risk management framework including; risk identification, policy and program requirements; governance and the technology to support the framework.</w:t>
            </w:r>
          </w:p>
          <w:p w:rsidR="00372DC5" w:rsidRPr="0017614A" w:rsidRDefault="00372DC5" w:rsidP="00372DC5">
            <w:pPr>
              <w:ind w:left="360"/>
              <w:rPr>
                <w:rFonts w:ascii="Arial Black" w:hAnsi="Arial Black"/>
                <w:b/>
                <w:bCs/>
              </w:rPr>
            </w:pPr>
          </w:p>
        </w:tc>
      </w:tr>
    </w:tbl>
    <w:p w:rsidR="00344131" w:rsidRDefault="00344131">
      <w:r>
        <w:br w:type="page"/>
      </w:r>
    </w:p>
    <w:tbl>
      <w:tblPr>
        <w:tblStyle w:val="TableGrid"/>
        <w:tblW w:w="4838" w:type="pct"/>
        <w:tblLayout w:type="fixed"/>
        <w:tblLook w:val="04A0" w:firstRow="1" w:lastRow="0" w:firstColumn="1" w:lastColumn="0" w:noHBand="0" w:noVBand="1"/>
      </w:tblPr>
      <w:tblGrid>
        <w:gridCol w:w="3778"/>
        <w:gridCol w:w="6846"/>
      </w:tblGrid>
      <w:tr w:rsidR="00A7775E" w:rsidTr="009B167D">
        <w:tc>
          <w:tcPr>
            <w:tcW w:w="1778" w:type="pct"/>
            <w:tcBorders>
              <w:top w:val="nil"/>
              <w:left w:val="nil"/>
              <w:bottom w:val="nil"/>
              <w:right w:val="nil"/>
            </w:tcBorders>
          </w:tcPr>
          <w:p w:rsidR="0017614A" w:rsidRPr="009D0F99" w:rsidRDefault="009D0F99" w:rsidP="009D0F99">
            <w:pPr>
              <w:jc w:val="center"/>
              <w:rPr>
                <w:bCs/>
              </w:rPr>
            </w:pPr>
            <w:r w:rsidRPr="009D0F99">
              <w:rPr>
                <w:noProof/>
              </w:rPr>
              <w:lastRenderedPageBreak/>
              <w:drawing>
                <wp:anchor distT="0" distB="0" distL="114300" distR="114300" simplePos="0" relativeHeight="251659264" behindDoc="0" locked="0" layoutInCell="1" allowOverlap="1" wp14:anchorId="7A16C53A" wp14:editId="56994305">
                  <wp:simplePos x="0" y="0"/>
                  <wp:positionH relativeFrom="column">
                    <wp:posOffset>45720</wp:posOffset>
                  </wp:positionH>
                  <wp:positionV relativeFrom="paragraph">
                    <wp:posOffset>2099945</wp:posOffset>
                  </wp:positionV>
                  <wp:extent cx="2219325" cy="676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ifting Gears consulting.png"/>
                          <pic:cNvPicPr/>
                        </pic:nvPicPr>
                        <pic:blipFill>
                          <a:blip r:embed="rId12">
                            <a:extLst>
                              <a:ext uri="{28A0092B-C50C-407E-A947-70E740481C1C}">
                                <a14:useLocalDpi xmlns:a14="http://schemas.microsoft.com/office/drawing/2010/main" val="0"/>
                              </a:ext>
                            </a:extLst>
                          </a:blip>
                          <a:stretch>
                            <a:fillRect/>
                          </a:stretch>
                        </pic:blipFill>
                        <pic:spPr>
                          <a:xfrm>
                            <a:off x="0" y="0"/>
                            <a:ext cx="2219325" cy="676275"/>
                          </a:xfrm>
                          <a:prstGeom prst="rect">
                            <a:avLst/>
                          </a:prstGeom>
                        </pic:spPr>
                      </pic:pic>
                    </a:graphicData>
                  </a:graphic>
                  <wp14:sizeRelV relativeFrom="margin">
                    <wp14:pctHeight>0</wp14:pctHeight>
                  </wp14:sizeRelV>
                </wp:anchor>
              </w:drawing>
            </w:r>
            <w:r w:rsidR="00691A82" w:rsidRPr="009D0F99">
              <w:rPr>
                <w:noProof/>
              </w:rPr>
              <w:drawing>
                <wp:inline distT="0" distB="0" distL="0" distR="0" wp14:anchorId="6D73CA83" wp14:editId="0E2CFF4D">
                  <wp:extent cx="2133600" cy="1905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arla Robertson Mindshift Headshot.jpg"/>
                          <pic:cNvPicPr/>
                        </pic:nvPicPr>
                        <pic:blipFill>
                          <a:blip r:embed="rId13">
                            <a:extLst>
                              <a:ext uri="{28A0092B-C50C-407E-A947-70E740481C1C}">
                                <a14:useLocalDpi xmlns:a14="http://schemas.microsoft.com/office/drawing/2010/main" val="0"/>
                              </a:ext>
                            </a:extLst>
                          </a:blip>
                          <a:stretch>
                            <a:fillRect/>
                          </a:stretch>
                        </pic:blipFill>
                        <pic:spPr>
                          <a:xfrm>
                            <a:off x="0" y="0"/>
                            <a:ext cx="2133600" cy="1905000"/>
                          </a:xfrm>
                          <a:prstGeom prst="rect">
                            <a:avLst/>
                          </a:prstGeom>
                        </pic:spPr>
                      </pic:pic>
                    </a:graphicData>
                  </a:graphic>
                </wp:inline>
              </w:drawing>
            </w:r>
          </w:p>
        </w:tc>
        <w:tc>
          <w:tcPr>
            <w:tcW w:w="3222" w:type="pct"/>
            <w:tcBorders>
              <w:top w:val="nil"/>
              <w:left w:val="nil"/>
              <w:bottom w:val="nil"/>
              <w:right w:val="nil"/>
            </w:tcBorders>
          </w:tcPr>
          <w:p w:rsidR="0017614A" w:rsidRDefault="0017614A" w:rsidP="00033770">
            <w:pPr>
              <w:rPr>
                <w:rFonts w:ascii="Arial Black" w:hAnsi="Arial Black"/>
                <w:b/>
                <w:bCs/>
                <w:color w:val="365F91" w:themeColor="accent1" w:themeShade="BF"/>
              </w:rPr>
            </w:pPr>
            <w:r w:rsidRPr="0017614A">
              <w:rPr>
                <w:rFonts w:ascii="Arial Black" w:hAnsi="Arial Black"/>
                <w:b/>
                <w:bCs/>
                <w:color w:val="365F91" w:themeColor="accent1" w:themeShade="BF"/>
              </w:rPr>
              <w:t>KARLA ROBERTSON</w:t>
            </w:r>
          </w:p>
          <w:p w:rsidR="007F5A43" w:rsidRDefault="00132F6B" w:rsidP="00033770">
            <w:pPr>
              <w:rPr>
                <w:rFonts w:ascii="Arial" w:hAnsi="Arial" w:cs="Arial"/>
                <w:b/>
                <w:bCs/>
                <w:color w:val="365F91" w:themeColor="accent1" w:themeShade="BF"/>
              </w:rPr>
            </w:pPr>
            <w:r w:rsidRPr="00132F6B">
              <w:rPr>
                <w:rFonts w:ascii="Arial" w:hAnsi="Arial" w:cs="Arial"/>
                <w:b/>
                <w:bCs/>
                <w:color w:val="365F91" w:themeColor="accent1" w:themeShade="BF"/>
              </w:rPr>
              <w:t xml:space="preserve">Founder and CEO, </w:t>
            </w:r>
          </w:p>
          <w:p w:rsidR="00132F6B" w:rsidRDefault="00132F6B" w:rsidP="00033770">
            <w:pPr>
              <w:rPr>
                <w:rFonts w:ascii="Arial" w:hAnsi="Arial" w:cs="Arial"/>
                <w:b/>
                <w:bCs/>
                <w:color w:val="365F91" w:themeColor="accent1" w:themeShade="BF"/>
              </w:rPr>
            </w:pPr>
            <w:r w:rsidRPr="00132F6B">
              <w:rPr>
                <w:rFonts w:ascii="Arial" w:hAnsi="Arial" w:cs="Arial"/>
                <w:b/>
                <w:bCs/>
                <w:color w:val="365F91" w:themeColor="accent1" w:themeShade="BF"/>
              </w:rPr>
              <w:t>Shifting Gears Executive Coaching</w:t>
            </w:r>
          </w:p>
          <w:p w:rsidR="00D27888" w:rsidRPr="00132F6B" w:rsidRDefault="00D27888" w:rsidP="00033770">
            <w:pPr>
              <w:rPr>
                <w:rFonts w:ascii="Arial" w:hAnsi="Arial" w:cs="Arial"/>
                <w:b/>
                <w:bCs/>
                <w:color w:val="365F91" w:themeColor="accent1" w:themeShade="BF"/>
              </w:rPr>
            </w:pPr>
          </w:p>
          <w:p w:rsidR="00454C76" w:rsidRPr="00D27888" w:rsidRDefault="00454C76" w:rsidP="00454C76">
            <w:pPr>
              <w:pStyle w:val="NormalWeb"/>
              <w:spacing w:before="0" w:beforeAutospacing="0" w:after="0" w:afterAutospacing="0"/>
              <w:rPr>
                <w:rFonts w:ascii="Arial" w:hAnsi="Arial" w:cs="Arial"/>
                <w:sz w:val="18"/>
                <w:szCs w:val="18"/>
              </w:rPr>
            </w:pPr>
            <w:r w:rsidRPr="00D27888">
              <w:rPr>
                <w:rFonts w:ascii="Arial" w:hAnsi="Arial" w:cs="Arial"/>
                <w:sz w:val="18"/>
                <w:szCs w:val="18"/>
              </w:rPr>
              <w:t xml:space="preserve">Karla Robertson is Founder and CEO of Shifting Gears Executive Coaching &amp; Keynote Speaking. For the past 18 years, Karla’s focus has been coaching executives (director to C-Level) and their teams to drive better results by becoming better thinkers and leaders.  Karla’s professional credentials include being a Professional Certified Coach, a Master MTBI® Practitioner with Myers-Briggs® Type Indicator assessments, and holding her B.S. degree with dual majors in Psychology and Marketing. She is a member of the International Coach Federation and a past board member of the New Jersey Coaches Association.  Her professional coaching work includes assignments with Wells Fargo Home Mortgage, CR BARD, L’Oréal and </w:t>
            </w:r>
            <w:proofErr w:type="spellStart"/>
            <w:r w:rsidRPr="00D27888">
              <w:rPr>
                <w:rFonts w:ascii="Arial" w:hAnsi="Arial" w:cs="Arial"/>
                <w:sz w:val="18"/>
                <w:szCs w:val="18"/>
              </w:rPr>
              <w:t>Navitus</w:t>
            </w:r>
            <w:proofErr w:type="spellEnd"/>
            <w:r w:rsidRPr="00D27888">
              <w:rPr>
                <w:rFonts w:ascii="Arial" w:hAnsi="Arial" w:cs="Arial"/>
                <w:sz w:val="18"/>
                <w:szCs w:val="18"/>
              </w:rPr>
              <w:t xml:space="preserve"> Health Solutions, Inc. and Willis Towers Watson to name a few.</w:t>
            </w:r>
          </w:p>
          <w:p w:rsidR="00454C76" w:rsidRPr="00D27888" w:rsidRDefault="00454C76" w:rsidP="00454C76">
            <w:pPr>
              <w:pStyle w:val="NormalWeb"/>
              <w:spacing w:before="0" w:beforeAutospacing="0" w:after="0" w:afterAutospacing="0"/>
              <w:rPr>
                <w:rFonts w:ascii="Arial" w:hAnsi="Arial" w:cs="Arial"/>
                <w:sz w:val="18"/>
                <w:szCs w:val="18"/>
              </w:rPr>
            </w:pPr>
          </w:p>
          <w:p w:rsidR="00454C76" w:rsidRPr="00D27888" w:rsidRDefault="00454C76" w:rsidP="00454C76">
            <w:pPr>
              <w:pStyle w:val="NormalWeb"/>
              <w:spacing w:before="0" w:beforeAutospacing="0" w:after="0" w:afterAutospacing="0"/>
              <w:rPr>
                <w:rFonts w:ascii="Arial" w:hAnsi="Arial" w:cs="Arial"/>
                <w:sz w:val="18"/>
                <w:szCs w:val="18"/>
              </w:rPr>
            </w:pPr>
            <w:r w:rsidRPr="00D27888">
              <w:rPr>
                <w:rFonts w:ascii="Arial" w:hAnsi="Arial" w:cs="Arial"/>
                <w:sz w:val="18"/>
                <w:szCs w:val="18"/>
              </w:rPr>
              <w:t xml:space="preserve">Prior to launching her business in 1999, Karla had a highly successful sales career in mortgage banking and the pharmacy benefit management industries where she was the top producer for her company in both fields.  Karla’s sales success stems from knowing how to connect with people and build successful relationships that endure through good times and challenging ones.  She has particular expertise and success in developing the “trusted advisor” status with her clients and many executive across diverse industries seek her out to help them achieve their aspirations, make more powerful contributions to their organizations and build stronger teams and cultures.  </w:t>
            </w:r>
          </w:p>
          <w:p w:rsidR="00454C76" w:rsidRPr="00D27888" w:rsidRDefault="00454C76" w:rsidP="00454C76">
            <w:pPr>
              <w:pStyle w:val="NormalWeb"/>
              <w:spacing w:before="0" w:beforeAutospacing="0" w:after="0" w:afterAutospacing="0"/>
              <w:rPr>
                <w:rFonts w:ascii="Arial" w:hAnsi="Arial" w:cs="Arial"/>
                <w:sz w:val="18"/>
                <w:szCs w:val="18"/>
              </w:rPr>
            </w:pPr>
          </w:p>
          <w:p w:rsidR="00454C76" w:rsidRPr="00D27888" w:rsidRDefault="00454C76" w:rsidP="00454C76">
            <w:pPr>
              <w:pStyle w:val="NormalWeb"/>
              <w:spacing w:before="0" w:beforeAutospacing="0" w:after="0" w:afterAutospacing="0"/>
              <w:rPr>
                <w:rFonts w:ascii="Arial" w:hAnsi="Arial" w:cs="Arial"/>
                <w:sz w:val="18"/>
                <w:szCs w:val="18"/>
              </w:rPr>
            </w:pPr>
            <w:r w:rsidRPr="00D27888">
              <w:rPr>
                <w:rFonts w:ascii="Arial" w:hAnsi="Arial" w:cs="Arial"/>
                <w:sz w:val="18"/>
                <w:szCs w:val="18"/>
              </w:rPr>
              <w:t>Karla has received very high marks wherever she has spoken over the last 6 years from conferences to associations to offsite leadership and strategy retreats.</w:t>
            </w:r>
          </w:p>
          <w:p w:rsidR="0017614A" w:rsidRDefault="00454C76" w:rsidP="00691A82">
            <w:pPr>
              <w:autoSpaceDE w:val="0"/>
              <w:autoSpaceDN w:val="0"/>
              <w:adjustRightInd w:val="0"/>
              <w:rPr>
                <w:b/>
                <w:bCs/>
              </w:rPr>
            </w:pPr>
            <w:r w:rsidRPr="00D27888">
              <w:rPr>
                <w:rFonts w:ascii="Arial" w:hAnsi="Arial" w:cs="Arial"/>
                <w:color w:val="231F20"/>
                <w:sz w:val="18"/>
                <w:szCs w:val="18"/>
              </w:rPr>
              <w:br/>
            </w:r>
          </w:p>
        </w:tc>
      </w:tr>
    </w:tbl>
    <w:p w:rsidR="00BA7467" w:rsidRDefault="00BA7467" w:rsidP="003665F0">
      <w:pPr>
        <w:ind w:left="720" w:right="900"/>
      </w:pPr>
    </w:p>
    <w:sectPr w:rsidR="00BA7467" w:rsidSect="003665F0">
      <w:headerReference w:type="even" r:id="rId14"/>
      <w:headerReference w:type="default" r:id="rId15"/>
      <w:footerReference w:type="even" r:id="rId16"/>
      <w:footerReference w:type="default" r:id="rId17"/>
      <w:headerReference w:type="first" r:id="rId18"/>
      <w:footerReference w:type="first" r:id="rId19"/>
      <w:pgSz w:w="12240" w:h="15840"/>
      <w:pgMar w:top="1440" w:right="540" w:bottom="14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5EA" w:rsidRDefault="008745EA" w:rsidP="00052B99">
      <w:r>
        <w:separator/>
      </w:r>
    </w:p>
  </w:endnote>
  <w:endnote w:type="continuationSeparator" w:id="0">
    <w:p w:rsidR="008745EA" w:rsidRDefault="008745EA" w:rsidP="00052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Bold">
    <w:altName w:val="Arial"/>
    <w:panose1 w:val="00000000000000000000"/>
    <w:charset w:val="4D"/>
    <w:family w:val="auto"/>
    <w:notTrueType/>
    <w:pitch w:val="default"/>
    <w:sig w:usb0="00000003" w:usb1="00000000" w:usb2="00000000" w:usb3="00000000" w:csb0="00000001" w:csb1="00000000"/>
  </w:font>
  <w:font w:name="Helvetica-Light">
    <w:altName w:val="Helvetica 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B99" w:rsidRDefault="008745EA">
    <w:pPr>
      <w:pStyle w:val="Footer"/>
    </w:pPr>
    <w:sdt>
      <w:sdtPr>
        <w:id w:val="1776748908"/>
        <w:placeholder>
          <w:docPart w:val="584F2F437C09EC4FAD0BF876493428CF"/>
        </w:placeholder>
        <w:temporary/>
        <w:showingPlcHdr/>
      </w:sdtPr>
      <w:sdtEndPr/>
      <w:sdtContent>
        <w:r w:rsidR="00052B99">
          <w:t>[Type text]</w:t>
        </w:r>
      </w:sdtContent>
    </w:sdt>
    <w:r w:rsidR="00052B99">
      <w:ptab w:relativeTo="margin" w:alignment="center" w:leader="none"/>
    </w:r>
    <w:sdt>
      <w:sdtPr>
        <w:id w:val="-1372374342"/>
        <w:placeholder>
          <w:docPart w:val="8E3FB3D58687F947B7513B24FB0826FC"/>
        </w:placeholder>
        <w:temporary/>
        <w:showingPlcHdr/>
      </w:sdtPr>
      <w:sdtEndPr/>
      <w:sdtContent>
        <w:r w:rsidR="00052B99">
          <w:t>[Type text]</w:t>
        </w:r>
      </w:sdtContent>
    </w:sdt>
    <w:r w:rsidR="00052B99">
      <w:ptab w:relativeTo="margin" w:alignment="right" w:leader="none"/>
    </w:r>
    <w:sdt>
      <w:sdtPr>
        <w:id w:val="1355690329"/>
        <w:placeholder>
          <w:docPart w:val="C335C7A5BCECE446A39CDFFE7C0D27CD"/>
        </w:placeholder>
        <w:temporary/>
        <w:showingPlcHdr/>
      </w:sdtPr>
      <w:sdtEndPr/>
      <w:sdtContent>
        <w:r w:rsidR="00052B99">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192518"/>
      <w:docPartObj>
        <w:docPartGallery w:val="Page Numbers (Bottom of Page)"/>
        <w:docPartUnique/>
      </w:docPartObj>
    </w:sdtPr>
    <w:sdtEndPr>
      <w:rPr>
        <w:noProof/>
      </w:rPr>
    </w:sdtEndPr>
    <w:sdtContent>
      <w:p w:rsidR="00BC1ACC" w:rsidRDefault="00BC1ACC">
        <w:pPr>
          <w:pStyle w:val="Footer"/>
          <w:jc w:val="center"/>
        </w:pPr>
        <w:r>
          <w:fldChar w:fldCharType="begin"/>
        </w:r>
        <w:r>
          <w:instrText xml:space="preserve"> PAGE   \* MERGEFORMAT </w:instrText>
        </w:r>
        <w:r>
          <w:fldChar w:fldCharType="separate"/>
        </w:r>
        <w:r w:rsidR="00B72354">
          <w:rPr>
            <w:noProof/>
          </w:rPr>
          <w:t>2</w:t>
        </w:r>
        <w:r>
          <w:rPr>
            <w:noProof/>
          </w:rPr>
          <w:fldChar w:fldCharType="end"/>
        </w:r>
      </w:p>
    </w:sdtContent>
  </w:sdt>
  <w:p w:rsidR="00052B99" w:rsidRDefault="00052B99" w:rsidP="00052B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5F0" w:rsidRDefault="003665F0" w:rsidP="003665F0">
    <w:pPr>
      <w:pStyle w:val="Footer"/>
    </w:pPr>
    <w:r>
      <w:rPr>
        <w:rFonts w:ascii="Helvetica-Bold" w:hAnsi="Helvetica-Bold" w:cs="Helvetica-Bold"/>
        <w:b/>
        <w:bCs/>
        <w:color w:val="002193"/>
        <w:sz w:val="20"/>
        <w:szCs w:val="20"/>
      </w:rPr>
      <w:t xml:space="preserve">Institute for Supply Management New York </w:t>
    </w:r>
    <w:r>
      <w:ptab w:relativeTo="margin" w:alignment="center" w:leader="none"/>
    </w:r>
    <w:r>
      <w:ptab w:relativeTo="margin" w:alignment="right" w:leader="none"/>
    </w:r>
    <w:proofErr w:type="gramStart"/>
    <w:r>
      <w:rPr>
        <w:rFonts w:ascii="Helvetica-Light" w:hAnsi="Helvetica-Light" w:cs="Helvetica-Light"/>
        <w:color w:val="002193"/>
        <w:sz w:val="20"/>
        <w:szCs w:val="20"/>
      </w:rPr>
      <w:t>ismny.com  /</w:t>
    </w:r>
    <w:proofErr w:type="gramEnd"/>
    <w:r>
      <w:rPr>
        <w:rFonts w:ascii="Helvetica-Light" w:hAnsi="Helvetica-Light" w:cs="Helvetica-Light"/>
        <w:color w:val="002193"/>
        <w:sz w:val="20"/>
        <w:szCs w:val="20"/>
      </w:rPr>
      <w:t xml:space="preserve">  info@ismnewyork.org  /  800.975.0725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5EA" w:rsidRDefault="008745EA" w:rsidP="00052B99">
      <w:r>
        <w:separator/>
      </w:r>
    </w:p>
  </w:footnote>
  <w:footnote w:type="continuationSeparator" w:id="0">
    <w:p w:rsidR="008745EA" w:rsidRDefault="008745EA" w:rsidP="00052B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B99" w:rsidRDefault="008745EA">
    <w:pPr>
      <w:pStyle w:val="Header"/>
    </w:pPr>
    <w:sdt>
      <w:sdtPr>
        <w:id w:val="346216771"/>
        <w:placeholder>
          <w:docPart w:val="0BFCF7C1C78D274DB7DC9F38635C0562"/>
        </w:placeholder>
        <w:temporary/>
        <w:showingPlcHdr/>
      </w:sdtPr>
      <w:sdtEndPr/>
      <w:sdtContent>
        <w:r w:rsidR="00052B99">
          <w:t>[Type text]</w:t>
        </w:r>
      </w:sdtContent>
    </w:sdt>
    <w:r w:rsidR="00052B99">
      <w:ptab w:relativeTo="margin" w:alignment="center" w:leader="none"/>
    </w:r>
    <w:sdt>
      <w:sdtPr>
        <w:id w:val="1368565433"/>
        <w:placeholder>
          <w:docPart w:val="E68C118475E08D49914D8FDF5F5FB62B"/>
        </w:placeholder>
        <w:temporary/>
        <w:showingPlcHdr/>
      </w:sdtPr>
      <w:sdtEndPr/>
      <w:sdtContent>
        <w:r w:rsidR="00052B99">
          <w:t>[Type text]</w:t>
        </w:r>
      </w:sdtContent>
    </w:sdt>
    <w:r w:rsidR="00052B99">
      <w:ptab w:relativeTo="margin" w:alignment="right" w:leader="none"/>
    </w:r>
    <w:sdt>
      <w:sdtPr>
        <w:id w:val="1623571955"/>
        <w:placeholder>
          <w:docPart w:val="452FF0E201185E44BE2DB05C928DCDCB"/>
        </w:placeholder>
        <w:temporary/>
        <w:showingPlcHdr/>
      </w:sdtPr>
      <w:sdtEndPr/>
      <w:sdtContent>
        <w:r w:rsidR="00052B99">
          <w:t>[Type text]</w:t>
        </w:r>
      </w:sdtContent>
    </w:sdt>
  </w:p>
  <w:p w:rsidR="00052B99" w:rsidRDefault="00052B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FDC" w:rsidRDefault="00052B99">
    <w:pPr>
      <w:pStyle w:val="Header"/>
    </w:pPr>
    <w:r>
      <w:ptab w:relativeTo="margin" w:alignment="center" w:leader="none"/>
    </w:r>
    <w:r w:rsidR="00931FDC">
      <w:rPr>
        <w:noProof/>
      </w:rPr>
      <w:drawing>
        <wp:inline distT="0" distB="0" distL="0" distR="0" wp14:anchorId="1EA5A539" wp14:editId="53C04B48">
          <wp:extent cx="2956560" cy="894080"/>
          <wp:effectExtent l="0" t="0" r="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6560" cy="894080"/>
                  </a:xfrm>
                  <a:prstGeom prst="rect">
                    <a:avLst/>
                  </a:prstGeom>
                  <a:noFill/>
                  <a:ln>
                    <a:noFill/>
                  </a:ln>
                </pic:spPr>
              </pic:pic>
            </a:graphicData>
          </a:graphic>
        </wp:inline>
      </w:drawing>
    </w:r>
  </w:p>
  <w:p w:rsidR="00931FDC" w:rsidRDefault="00931FDC" w:rsidP="00931FDC">
    <w:pPr>
      <w:ind w:left="720" w:right="900"/>
      <w:jc w:val="center"/>
      <w:rPr>
        <w:rFonts w:ascii="Arial Black" w:hAnsi="Arial Black"/>
        <w:b/>
        <w:color w:val="365F91" w:themeColor="accent1" w:themeShade="BF"/>
      </w:rPr>
    </w:pPr>
    <w:r w:rsidRPr="00033770">
      <w:rPr>
        <w:rFonts w:ascii="Arial Black" w:hAnsi="Arial Black"/>
        <w:b/>
        <w:color w:val="365F91" w:themeColor="accent1" w:themeShade="BF"/>
      </w:rPr>
      <w:t xml:space="preserve">2017 ISM – New York’s Annual Conference </w:t>
    </w:r>
  </w:p>
  <w:p w:rsidR="00931FDC" w:rsidRPr="00033770" w:rsidRDefault="00931FDC" w:rsidP="00931FDC">
    <w:pPr>
      <w:ind w:left="720" w:right="900"/>
      <w:jc w:val="center"/>
      <w:rPr>
        <w:rFonts w:ascii="Arial Black" w:hAnsi="Arial Black"/>
        <w:b/>
        <w:color w:val="365F91" w:themeColor="accent1" w:themeShade="BF"/>
      </w:rPr>
    </w:pPr>
    <w:r w:rsidRPr="00033770">
      <w:rPr>
        <w:rFonts w:ascii="Arial Black" w:hAnsi="Arial Black"/>
        <w:b/>
        <w:color w:val="365F91" w:themeColor="accent1" w:themeShade="BF"/>
      </w:rPr>
      <w:t>Presenter Bio’s</w:t>
    </w:r>
    <w:r>
      <w:rPr>
        <w:rFonts w:ascii="Arial Black" w:hAnsi="Arial Black"/>
        <w:b/>
        <w:color w:val="365F91" w:themeColor="accent1" w:themeShade="BF"/>
      </w:rPr>
      <w:t xml:space="preserve"> (Cont’d)</w:t>
    </w:r>
  </w:p>
  <w:p w:rsidR="00931FDC" w:rsidRDefault="00931FDC">
    <w:pPr>
      <w:pStyle w:val="Header"/>
    </w:pPr>
  </w:p>
  <w:p w:rsidR="00052B99" w:rsidRDefault="00052B99">
    <w:pPr>
      <w:pStyle w:val="Header"/>
    </w:pPr>
    <w: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5F0" w:rsidRDefault="003665F0">
    <w:pPr>
      <w:pStyle w:val="Header"/>
    </w:pPr>
    <w:r>
      <w:ptab w:relativeTo="margin" w:alignment="center" w:leader="none"/>
    </w:r>
    <w:r>
      <w:rPr>
        <w:noProof/>
      </w:rPr>
      <w:drawing>
        <wp:inline distT="0" distB="0" distL="0" distR="0" wp14:anchorId="60B41ED6" wp14:editId="790FD28D">
          <wp:extent cx="2956560" cy="894080"/>
          <wp:effectExtent l="0" t="0" r="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6560" cy="894080"/>
                  </a:xfrm>
                  <a:prstGeom prst="rect">
                    <a:avLst/>
                  </a:prstGeom>
                  <a:noFill/>
                  <a:ln>
                    <a:noFill/>
                  </a:ln>
                </pic:spPr>
              </pic:pic>
            </a:graphicData>
          </a:graphic>
        </wp:inline>
      </w:drawing>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1A4D3D"/>
    <w:multiLevelType w:val="hybridMultilevel"/>
    <w:tmpl w:val="D500FE80"/>
    <w:lvl w:ilvl="0" w:tplc="19B20FFC">
      <w:start w:val="1"/>
      <w:numFmt w:val="bullet"/>
      <w:lvlText w:val=""/>
      <w:lvlJc w:val="left"/>
      <w:pPr>
        <w:tabs>
          <w:tab w:val="num" w:pos="720"/>
        </w:tabs>
        <w:ind w:left="720" w:hanging="360"/>
      </w:pPr>
      <w:rPr>
        <w:rFonts w:ascii="Wingdings" w:hAnsi="Wingdings" w:hint="default"/>
      </w:rPr>
    </w:lvl>
    <w:lvl w:ilvl="1" w:tplc="A93858CC" w:tentative="1">
      <w:start w:val="1"/>
      <w:numFmt w:val="bullet"/>
      <w:lvlText w:val=""/>
      <w:lvlJc w:val="left"/>
      <w:pPr>
        <w:tabs>
          <w:tab w:val="num" w:pos="1440"/>
        </w:tabs>
        <w:ind w:left="1440" w:hanging="360"/>
      </w:pPr>
      <w:rPr>
        <w:rFonts w:ascii="Wingdings" w:hAnsi="Wingdings" w:hint="default"/>
      </w:rPr>
    </w:lvl>
    <w:lvl w:ilvl="2" w:tplc="1388BA58" w:tentative="1">
      <w:start w:val="1"/>
      <w:numFmt w:val="bullet"/>
      <w:lvlText w:val=""/>
      <w:lvlJc w:val="left"/>
      <w:pPr>
        <w:tabs>
          <w:tab w:val="num" w:pos="2160"/>
        </w:tabs>
        <w:ind w:left="2160" w:hanging="360"/>
      </w:pPr>
      <w:rPr>
        <w:rFonts w:ascii="Wingdings" w:hAnsi="Wingdings" w:hint="default"/>
      </w:rPr>
    </w:lvl>
    <w:lvl w:ilvl="3" w:tplc="639A7E16" w:tentative="1">
      <w:start w:val="1"/>
      <w:numFmt w:val="bullet"/>
      <w:lvlText w:val=""/>
      <w:lvlJc w:val="left"/>
      <w:pPr>
        <w:tabs>
          <w:tab w:val="num" w:pos="2880"/>
        </w:tabs>
        <w:ind w:left="2880" w:hanging="360"/>
      </w:pPr>
      <w:rPr>
        <w:rFonts w:ascii="Wingdings" w:hAnsi="Wingdings" w:hint="default"/>
      </w:rPr>
    </w:lvl>
    <w:lvl w:ilvl="4" w:tplc="A92697F0" w:tentative="1">
      <w:start w:val="1"/>
      <w:numFmt w:val="bullet"/>
      <w:lvlText w:val=""/>
      <w:lvlJc w:val="left"/>
      <w:pPr>
        <w:tabs>
          <w:tab w:val="num" w:pos="3600"/>
        </w:tabs>
        <w:ind w:left="3600" w:hanging="360"/>
      </w:pPr>
      <w:rPr>
        <w:rFonts w:ascii="Wingdings" w:hAnsi="Wingdings" w:hint="default"/>
      </w:rPr>
    </w:lvl>
    <w:lvl w:ilvl="5" w:tplc="68F6003A" w:tentative="1">
      <w:start w:val="1"/>
      <w:numFmt w:val="bullet"/>
      <w:lvlText w:val=""/>
      <w:lvlJc w:val="left"/>
      <w:pPr>
        <w:tabs>
          <w:tab w:val="num" w:pos="4320"/>
        </w:tabs>
        <w:ind w:left="4320" w:hanging="360"/>
      </w:pPr>
      <w:rPr>
        <w:rFonts w:ascii="Wingdings" w:hAnsi="Wingdings" w:hint="default"/>
      </w:rPr>
    </w:lvl>
    <w:lvl w:ilvl="6" w:tplc="094E4174" w:tentative="1">
      <w:start w:val="1"/>
      <w:numFmt w:val="bullet"/>
      <w:lvlText w:val=""/>
      <w:lvlJc w:val="left"/>
      <w:pPr>
        <w:tabs>
          <w:tab w:val="num" w:pos="5040"/>
        </w:tabs>
        <w:ind w:left="5040" w:hanging="360"/>
      </w:pPr>
      <w:rPr>
        <w:rFonts w:ascii="Wingdings" w:hAnsi="Wingdings" w:hint="default"/>
      </w:rPr>
    </w:lvl>
    <w:lvl w:ilvl="7" w:tplc="8B1644D6" w:tentative="1">
      <w:start w:val="1"/>
      <w:numFmt w:val="bullet"/>
      <w:lvlText w:val=""/>
      <w:lvlJc w:val="left"/>
      <w:pPr>
        <w:tabs>
          <w:tab w:val="num" w:pos="5760"/>
        </w:tabs>
        <w:ind w:left="5760" w:hanging="360"/>
      </w:pPr>
      <w:rPr>
        <w:rFonts w:ascii="Wingdings" w:hAnsi="Wingdings" w:hint="default"/>
      </w:rPr>
    </w:lvl>
    <w:lvl w:ilvl="8" w:tplc="43D46B1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B99"/>
    <w:rsid w:val="00033770"/>
    <w:rsid w:val="00052B99"/>
    <w:rsid w:val="000D05BF"/>
    <w:rsid w:val="000E0025"/>
    <w:rsid w:val="00132F6B"/>
    <w:rsid w:val="0014715F"/>
    <w:rsid w:val="0017614A"/>
    <w:rsid w:val="002A3428"/>
    <w:rsid w:val="002C41C6"/>
    <w:rsid w:val="003006DE"/>
    <w:rsid w:val="00307EB5"/>
    <w:rsid w:val="0032180A"/>
    <w:rsid w:val="00344131"/>
    <w:rsid w:val="00344C8E"/>
    <w:rsid w:val="003665F0"/>
    <w:rsid w:val="00372DC5"/>
    <w:rsid w:val="003C4B89"/>
    <w:rsid w:val="0044536D"/>
    <w:rsid w:val="00454C76"/>
    <w:rsid w:val="00471F26"/>
    <w:rsid w:val="00501881"/>
    <w:rsid w:val="0065449F"/>
    <w:rsid w:val="00691A82"/>
    <w:rsid w:val="006C56FD"/>
    <w:rsid w:val="006F608C"/>
    <w:rsid w:val="007F5A43"/>
    <w:rsid w:val="00862BEF"/>
    <w:rsid w:val="008745EA"/>
    <w:rsid w:val="00905269"/>
    <w:rsid w:val="00931FDC"/>
    <w:rsid w:val="009B167D"/>
    <w:rsid w:val="009D0F99"/>
    <w:rsid w:val="009E73EA"/>
    <w:rsid w:val="00A033E7"/>
    <w:rsid w:val="00A133B4"/>
    <w:rsid w:val="00A408FA"/>
    <w:rsid w:val="00A7775E"/>
    <w:rsid w:val="00B72354"/>
    <w:rsid w:val="00B76018"/>
    <w:rsid w:val="00BA7467"/>
    <w:rsid w:val="00BC1ACC"/>
    <w:rsid w:val="00CA6674"/>
    <w:rsid w:val="00D22925"/>
    <w:rsid w:val="00D273FD"/>
    <w:rsid w:val="00D27888"/>
    <w:rsid w:val="00D55558"/>
    <w:rsid w:val="00FD29C1"/>
    <w:rsid w:val="00FE0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3F887044-5D1B-4BCA-A511-61E96E3D8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B99"/>
    <w:pPr>
      <w:tabs>
        <w:tab w:val="center" w:pos="4320"/>
        <w:tab w:val="right" w:pos="8640"/>
      </w:tabs>
    </w:pPr>
  </w:style>
  <w:style w:type="character" w:customStyle="1" w:styleId="HeaderChar">
    <w:name w:val="Header Char"/>
    <w:basedOn w:val="DefaultParagraphFont"/>
    <w:link w:val="Header"/>
    <w:uiPriority w:val="99"/>
    <w:rsid w:val="00052B99"/>
  </w:style>
  <w:style w:type="paragraph" w:styleId="Footer">
    <w:name w:val="footer"/>
    <w:basedOn w:val="Normal"/>
    <w:link w:val="FooterChar"/>
    <w:uiPriority w:val="99"/>
    <w:unhideWhenUsed/>
    <w:rsid w:val="00052B99"/>
    <w:pPr>
      <w:tabs>
        <w:tab w:val="center" w:pos="4320"/>
        <w:tab w:val="right" w:pos="8640"/>
      </w:tabs>
    </w:pPr>
  </w:style>
  <w:style w:type="character" w:customStyle="1" w:styleId="FooterChar">
    <w:name w:val="Footer Char"/>
    <w:basedOn w:val="DefaultParagraphFont"/>
    <w:link w:val="Footer"/>
    <w:uiPriority w:val="99"/>
    <w:rsid w:val="00052B99"/>
  </w:style>
  <w:style w:type="paragraph" w:styleId="BalloonText">
    <w:name w:val="Balloon Text"/>
    <w:basedOn w:val="Normal"/>
    <w:link w:val="BalloonTextChar"/>
    <w:uiPriority w:val="99"/>
    <w:semiHidden/>
    <w:unhideWhenUsed/>
    <w:rsid w:val="00052B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2B99"/>
    <w:rPr>
      <w:rFonts w:ascii="Lucida Grande" w:hAnsi="Lucida Grande" w:cs="Lucida Grande"/>
      <w:sz w:val="18"/>
      <w:szCs w:val="18"/>
    </w:rPr>
  </w:style>
  <w:style w:type="paragraph" w:customStyle="1" w:styleId="BasicParagraph">
    <w:name w:val="[Basic Paragraph]"/>
    <w:basedOn w:val="Normal"/>
    <w:uiPriority w:val="99"/>
    <w:rsid w:val="00052B99"/>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NormalWeb">
    <w:name w:val="Normal (Web)"/>
    <w:basedOn w:val="Normal"/>
    <w:unhideWhenUsed/>
    <w:rsid w:val="003665F0"/>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033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C76"/>
    <w:rPr>
      <w:color w:val="0000FF" w:themeColor="hyperlink"/>
      <w:u w:val="single"/>
    </w:rPr>
  </w:style>
  <w:style w:type="character" w:customStyle="1" w:styleId="apple-converted-space">
    <w:name w:val="apple-converted-space"/>
    <w:basedOn w:val="DefaultParagraphFont"/>
    <w:rsid w:val="00372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227341">
      <w:bodyDiv w:val="1"/>
      <w:marLeft w:val="0"/>
      <w:marRight w:val="0"/>
      <w:marTop w:val="0"/>
      <w:marBottom w:val="0"/>
      <w:divBdr>
        <w:top w:val="none" w:sz="0" w:space="0" w:color="auto"/>
        <w:left w:val="none" w:sz="0" w:space="0" w:color="auto"/>
        <w:bottom w:val="none" w:sz="0" w:space="0" w:color="auto"/>
        <w:right w:val="none" w:sz="0" w:space="0" w:color="auto"/>
      </w:divBdr>
      <w:divsChild>
        <w:div w:id="1027608959">
          <w:marLeft w:val="0"/>
          <w:marRight w:val="0"/>
          <w:marTop w:val="0"/>
          <w:marBottom w:val="0"/>
          <w:divBdr>
            <w:top w:val="none" w:sz="0" w:space="0" w:color="auto"/>
            <w:left w:val="none" w:sz="0" w:space="0" w:color="auto"/>
            <w:bottom w:val="none" w:sz="0" w:space="0" w:color="auto"/>
            <w:right w:val="none" w:sz="0" w:space="0" w:color="auto"/>
          </w:divBdr>
        </w:div>
      </w:divsChild>
    </w:div>
    <w:div w:id="1529681079">
      <w:bodyDiv w:val="1"/>
      <w:marLeft w:val="0"/>
      <w:marRight w:val="0"/>
      <w:marTop w:val="0"/>
      <w:marBottom w:val="0"/>
      <w:divBdr>
        <w:top w:val="none" w:sz="0" w:space="0" w:color="auto"/>
        <w:left w:val="none" w:sz="0" w:space="0" w:color="auto"/>
        <w:bottom w:val="none" w:sz="0" w:space="0" w:color="auto"/>
        <w:right w:val="none" w:sz="0" w:space="0" w:color="auto"/>
      </w:divBdr>
      <w:divsChild>
        <w:div w:id="1221288646">
          <w:marLeft w:val="0"/>
          <w:marRight w:val="0"/>
          <w:marTop w:val="0"/>
          <w:marBottom w:val="0"/>
          <w:divBdr>
            <w:top w:val="none" w:sz="0" w:space="0" w:color="auto"/>
            <w:left w:val="none" w:sz="0" w:space="0" w:color="auto"/>
            <w:bottom w:val="none" w:sz="0" w:space="0" w:color="auto"/>
            <w:right w:val="none" w:sz="0" w:space="0" w:color="auto"/>
          </w:divBdr>
        </w:div>
      </w:divsChild>
    </w:div>
    <w:div w:id="1784111132">
      <w:bodyDiv w:val="1"/>
      <w:marLeft w:val="0"/>
      <w:marRight w:val="0"/>
      <w:marTop w:val="0"/>
      <w:marBottom w:val="0"/>
      <w:divBdr>
        <w:top w:val="none" w:sz="0" w:space="0" w:color="auto"/>
        <w:left w:val="none" w:sz="0" w:space="0" w:color="auto"/>
        <w:bottom w:val="none" w:sz="0" w:space="0" w:color="auto"/>
        <w:right w:val="none" w:sz="0" w:space="0" w:color="auto"/>
      </w:divBdr>
      <w:divsChild>
        <w:div w:id="1614282949">
          <w:marLeft w:val="418"/>
          <w:marRight w:val="0"/>
          <w:marTop w:val="82"/>
          <w:marBottom w:val="0"/>
          <w:divBdr>
            <w:top w:val="none" w:sz="0" w:space="0" w:color="auto"/>
            <w:left w:val="none" w:sz="0" w:space="0" w:color="auto"/>
            <w:bottom w:val="none" w:sz="0" w:space="0" w:color="auto"/>
            <w:right w:val="none" w:sz="0" w:space="0" w:color="auto"/>
          </w:divBdr>
        </w:div>
        <w:div w:id="943535985">
          <w:marLeft w:val="418"/>
          <w:marRight w:val="0"/>
          <w:marTop w:val="82"/>
          <w:marBottom w:val="0"/>
          <w:divBdr>
            <w:top w:val="none" w:sz="0" w:space="0" w:color="auto"/>
            <w:left w:val="none" w:sz="0" w:space="0" w:color="auto"/>
            <w:bottom w:val="none" w:sz="0" w:space="0" w:color="auto"/>
            <w:right w:val="none" w:sz="0" w:space="0" w:color="auto"/>
          </w:divBdr>
        </w:div>
        <w:div w:id="1337683800">
          <w:marLeft w:val="418"/>
          <w:marRight w:val="0"/>
          <w:marTop w:val="82"/>
          <w:marBottom w:val="0"/>
          <w:divBdr>
            <w:top w:val="none" w:sz="0" w:space="0" w:color="auto"/>
            <w:left w:val="none" w:sz="0" w:space="0" w:color="auto"/>
            <w:bottom w:val="none" w:sz="0" w:space="0" w:color="auto"/>
            <w:right w:val="none" w:sz="0" w:space="0" w:color="auto"/>
          </w:divBdr>
        </w:div>
        <w:div w:id="960259859">
          <w:marLeft w:val="418"/>
          <w:marRight w:val="0"/>
          <w:marTop w:val="82"/>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7.emf"/></Relationships>
</file>

<file path=word/_rels/header3.xml.rels><?xml version="1.0" encoding="UTF-8" standalone="yes"?>
<Relationships xmlns="http://schemas.openxmlformats.org/package/2006/relationships"><Relationship Id="rId1" Type="http://schemas.openxmlformats.org/officeDocument/2006/relationships/image" Target="media/image7.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BFCF7C1C78D274DB7DC9F38635C0562"/>
        <w:category>
          <w:name w:val="General"/>
          <w:gallery w:val="placeholder"/>
        </w:category>
        <w:types>
          <w:type w:val="bbPlcHdr"/>
        </w:types>
        <w:behaviors>
          <w:behavior w:val="content"/>
        </w:behaviors>
        <w:guid w:val="{20741526-0CA0-704E-AD0C-0CBD4A2A4AD3}"/>
      </w:docPartPr>
      <w:docPartBody>
        <w:p w:rsidR="00EA259B" w:rsidRDefault="00EA259B" w:rsidP="00EA259B">
          <w:pPr>
            <w:pStyle w:val="0BFCF7C1C78D274DB7DC9F38635C0562"/>
          </w:pPr>
          <w:r>
            <w:t>[Type text]</w:t>
          </w:r>
        </w:p>
      </w:docPartBody>
    </w:docPart>
    <w:docPart>
      <w:docPartPr>
        <w:name w:val="E68C118475E08D49914D8FDF5F5FB62B"/>
        <w:category>
          <w:name w:val="General"/>
          <w:gallery w:val="placeholder"/>
        </w:category>
        <w:types>
          <w:type w:val="bbPlcHdr"/>
        </w:types>
        <w:behaviors>
          <w:behavior w:val="content"/>
        </w:behaviors>
        <w:guid w:val="{6587C210-D363-AD48-B350-3A4DF6D26BCB}"/>
      </w:docPartPr>
      <w:docPartBody>
        <w:p w:rsidR="00EA259B" w:rsidRDefault="00EA259B" w:rsidP="00EA259B">
          <w:pPr>
            <w:pStyle w:val="E68C118475E08D49914D8FDF5F5FB62B"/>
          </w:pPr>
          <w:r>
            <w:t>[Type text]</w:t>
          </w:r>
        </w:p>
      </w:docPartBody>
    </w:docPart>
    <w:docPart>
      <w:docPartPr>
        <w:name w:val="452FF0E201185E44BE2DB05C928DCDCB"/>
        <w:category>
          <w:name w:val="General"/>
          <w:gallery w:val="placeholder"/>
        </w:category>
        <w:types>
          <w:type w:val="bbPlcHdr"/>
        </w:types>
        <w:behaviors>
          <w:behavior w:val="content"/>
        </w:behaviors>
        <w:guid w:val="{B1555EFC-2D5C-FB40-9B3D-6BDD6BEAE392}"/>
      </w:docPartPr>
      <w:docPartBody>
        <w:p w:rsidR="00EA259B" w:rsidRDefault="00EA259B" w:rsidP="00EA259B">
          <w:pPr>
            <w:pStyle w:val="452FF0E201185E44BE2DB05C928DCDCB"/>
          </w:pPr>
          <w:r>
            <w:t>[Type text]</w:t>
          </w:r>
        </w:p>
      </w:docPartBody>
    </w:docPart>
    <w:docPart>
      <w:docPartPr>
        <w:name w:val="584F2F437C09EC4FAD0BF876493428CF"/>
        <w:category>
          <w:name w:val="General"/>
          <w:gallery w:val="placeholder"/>
        </w:category>
        <w:types>
          <w:type w:val="bbPlcHdr"/>
        </w:types>
        <w:behaviors>
          <w:behavior w:val="content"/>
        </w:behaviors>
        <w:guid w:val="{DBD4A314-5915-F946-BEAD-C85192FD5D85}"/>
      </w:docPartPr>
      <w:docPartBody>
        <w:p w:rsidR="00EA259B" w:rsidRDefault="00EA259B" w:rsidP="00EA259B">
          <w:pPr>
            <w:pStyle w:val="584F2F437C09EC4FAD0BF876493428CF"/>
          </w:pPr>
          <w:r>
            <w:t>[Type text]</w:t>
          </w:r>
        </w:p>
      </w:docPartBody>
    </w:docPart>
    <w:docPart>
      <w:docPartPr>
        <w:name w:val="8E3FB3D58687F947B7513B24FB0826FC"/>
        <w:category>
          <w:name w:val="General"/>
          <w:gallery w:val="placeholder"/>
        </w:category>
        <w:types>
          <w:type w:val="bbPlcHdr"/>
        </w:types>
        <w:behaviors>
          <w:behavior w:val="content"/>
        </w:behaviors>
        <w:guid w:val="{6527EF18-0462-D541-9FD5-1ACF8C0E4408}"/>
      </w:docPartPr>
      <w:docPartBody>
        <w:p w:rsidR="00EA259B" w:rsidRDefault="00EA259B" w:rsidP="00EA259B">
          <w:pPr>
            <w:pStyle w:val="8E3FB3D58687F947B7513B24FB0826FC"/>
          </w:pPr>
          <w:r>
            <w:t>[Type text]</w:t>
          </w:r>
        </w:p>
      </w:docPartBody>
    </w:docPart>
    <w:docPart>
      <w:docPartPr>
        <w:name w:val="C335C7A5BCECE446A39CDFFE7C0D27CD"/>
        <w:category>
          <w:name w:val="General"/>
          <w:gallery w:val="placeholder"/>
        </w:category>
        <w:types>
          <w:type w:val="bbPlcHdr"/>
        </w:types>
        <w:behaviors>
          <w:behavior w:val="content"/>
        </w:behaviors>
        <w:guid w:val="{2C41EED3-F448-1C49-9E69-841F031B64B9}"/>
      </w:docPartPr>
      <w:docPartBody>
        <w:p w:rsidR="00EA259B" w:rsidRDefault="00EA259B" w:rsidP="00EA259B">
          <w:pPr>
            <w:pStyle w:val="C335C7A5BCECE446A39CDFFE7C0D27C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Bold">
    <w:altName w:val="Arial"/>
    <w:panose1 w:val="00000000000000000000"/>
    <w:charset w:val="4D"/>
    <w:family w:val="auto"/>
    <w:notTrueType/>
    <w:pitch w:val="default"/>
    <w:sig w:usb0="00000003" w:usb1="00000000" w:usb2="00000000" w:usb3="00000000" w:csb0="00000001" w:csb1="00000000"/>
  </w:font>
  <w:font w:name="Helvetica-Light">
    <w:altName w:val="Helvetica 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59B"/>
    <w:rsid w:val="00272D83"/>
    <w:rsid w:val="004217D8"/>
    <w:rsid w:val="004A7A05"/>
    <w:rsid w:val="008F4CE2"/>
    <w:rsid w:val="009A1B10"/>
    <w:rsid w:val="00EA2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A42D463A6A8249AFE6985D86DB577A">
    <w:name w:val="D5A42D463A6A8249AFE6985D86DB577A"/>
    <w:rsid w:val="00EA259B"/>
  </w:style>
  <w:style w:type="paragraph" w:customStyle="1" w:styleId="C328881CC18D00449354F419DDF3B4A7">
    <w:name w:val="C328881CC18D00449354F419DDF3B4A7"/>
    <w:rsid w:val="00EA259B"/>
  </w:style>
  <w:style w:type="paragraph" w:customStyle="1" w:styleId="48AF5CAE0A59E54E8015236D0CEAABCA">
    <w:name w:val="48AF5CAE0A59E54E8015236D0CEAABCA"/>
    <w:rsid w:val="00EA259B"/>
  </w:style>
  <w:style w:type="paragraph" w:customStyle="1" w:styleId="97D28D70851C234F8DDCA9948E621AA3">
    <w:name w:val="97D28D70851C234F8DDCA9948E621AA3"/>
    <w:rsid w:val="00EA259B"/>
  </w:style>
  <w:style w:type="paragraph" w:customStyle="1" w:styleId="098CD7D4AB46A4498F713097EBC4C8D0">
    <w:name w:val="098CD7D4AB46A4498F713097EBC4C8D0"/>
    <w:rsid w:val="00EA259B"/>
  </w:style>
  <w:style w:type="paragraph" w:customStyle="1" w:styleId="9A8C8CED8E60414F91B0CD67CA43605F">
    <w:name w:val="9A8C8CED8E60414F91B0CD67CA43605F"/>
    <w:rsid w:val="00EA259B"/>
  </w:style>
  <w:style w:type="paragraph" w:customStyle="1" w:styleId="0BFCF7C1C78D274DB7DC9F38635C0562">
    <w:name w:val="0BFCF7C1C78D274DB7DC9F38635C0562"/>
    <w:rsid w:val="00EA259B"/>
  </w:style>
  <w:style w:type="paragraph" w:customStyle="1" w:styleId="E68C118475E08D49914D8FDF5F5FB62B">
    <w:name w:val="E68C118475E08D49914D8FDF5F5FB62B"/>
    <w:rsid w:val="00EA259B"/>
  </w:style>
  <w:style w:type="paragraph" w:customStyle="1" w:styleId="452FF0E201185E44BE2DB05C928DCDCB">
    <w:name w:val="452FF0E201185E44BE2DB05C928DCDCB"/>
    <w:rsid w:val="00EA259B"/>
  </w:style>
  <w:style w:type="paragraph" w:customStyle="1" w:styleId="3DA85835C446694CAF166DD42FFEB5FD">
    <w:name w:val="3DA85835C446694CAF166DD42FFEB5FD"/>
    <w:rsid w:val="00EA259B"/>
  </w:style>
  <w:style w:type="paragraph" w:customStyle="1" w:styleId="DED1924D6708BC43BDB76C22D5F8783A">
    <w:name w:val="DED1924D6708BC43BDB76C22D5F8783A"/>
    <w:rsid w:val="00EA259B"/>
  </w:style>
  <w:style w:type="paragraph" w:customStyle="1" w:styleId="5B5C79729E6D274F9A7A8EDCA8713087">
    <w:name w:val="5B5C79729E6D274F9A7A8EDCA8713087"/>
    <w:rsid w:val="00EA259B"/>
  </w:style>
  <w:style w:type="paragraph" w:customStyle="1" w:styleId="584F2F437C09EC4FAD0BF876493428CF">
    <w:name w:val="584F2F437C09EC4FAD0BF876493428CF"/>
    <w:rsid w:val="00EA259B"/>
  </w:style>
  <w:style w:type="paragraph" w:customStyle="1" w:styleId="8E3FB3D58687F947B7513B24FB0826FC">
    <w:name w:val="8E3FB3D58687F947B7513B24FB0826FC"/>
    <w:rsid w:val="00EA259B"/>
  </w:style>
  <w:style w:type="paragraph" w:customStyle="1" w:styleId="C335C7A5BCECE446A39CDFFE7C0D27CD">
    <w:name w:val="C335C7A5BCECE446A39CDFFE7C0D27CD"/>
    <w:rsid w:val="00EA259B"/>
  </w:style>
  <w:style w:type="paragraph" w:customStyle="1" w:styleId="0B15ACA9AD87D142878C8F537293585B">
    <w:name w:val="0B15ACA9AD87D142878C8F537293585B"/>
    <w:rsid w:val="00EA259B"/>
  </w:style>
  <w:style w:type="paragraph" w:customStyle="1" w:styleId="7194306D8601EA4C90C67AC984C41C0B">
    <w:name w:val="7194306D8601EA4C90C67AC984C41C0B"/>
    <w:rsid w:val="00EA259B"/>
  </w:style>
  <w:style w:type="paragraph" w:customStyle="1" w:styleId="3F6379F2DD2E4442BD15936327AB33DD">
    <w:name w:val="3F6379F2DD2E4442BD15936327AB33DD"/>
    <w:rsid w:val="00EA259B"/>
  </w:style>
  <w:style w:type="paragraph" w:customStyle="1" w:styleId="ED37A0FEF4B26A4DAABE3DC890234478">
    <w:name w:val="ED37A0FEF4B26A4DAABE3DC890234478"/>
    <w:rsid w:val="00EA259B"/>
  </w:style>
  <w:style w:type="paragraph" w:customStyle="1" w:styleId="98160104C07E514F8C0F8F23316124C5">
    <w:name w:val="98160104C07E514F8C0F8F23316124C5"/>
    <w:rsid w:val="00EA259B"/>
  </w:style>
  <w:style w:type="paragraph" w:customStyle="1" w:styleId="83155C9FF3519B4ABECA28F4FCB95DE1">
    <w:name w:val="83155C9FF3519B4ABECA28F4FCB95DE1"/>
    <w:rsid w:val="00EA259B"/>
  </w:style>
  <w:style w:type="paragraph" w:customStyle="1" w:styleId="7D31BAA745B4984DB41F238FED6FBF01">
    <w:name w:val="7D31BAA745B4984DB41F238FED6FBF01"/>
    <w:rsid w:val="00EA259B"/>
  </w:style>
  <w:style w:type="paragraph" w:customStyle="1" w:styleId="D1F7A8ECC40B6740B95377C1DF192ED1">
    <w:name w:val="D1F7A8ECC40B6740B95377C1DF192ED1"/>
    <w:rsid w:val="00EA259B"/>
  </w:style>
  <w:style w:type="paragraph" w:customStyle="1" w:styleId="4CEE08D1F7089F4481A9DFF847C47049">
    <w:name w:val="4CEE08D1F7089F4481A9DFF847C47049"/>
    <w:rsid w:val="00EA259B"/>
  </w:style>
  <w:style w:type="paragraph" w:customStyle="1" w:styleId="74AD3B30E3D2234181804F51973FA95D">
    <w:name w:val="74AD3B30E3D2234181804F51973FA95D"/>
    <w:rsid w:val="00EA259B"/>
  </w:style>
  <w:style w:type="paragraph" w:customStyle="1" w:styleId="C5772D9AE17E844CB9436CD7471E9F46">
    <w:name w:val="C5772D9AE17E844CB9436CD7471E9F46"/>
    <w:rsid w:val="00EA259B"/>
  </w:style>
  <w:style w:type="paragraph" w:customStyle="1" w:styleId="D4469F0DB7881C44B50AD23DAAA2DBF5">
    <w:name w:val="D4469F0DB7881C44B50AD23DAAA2DBF5"/>
    <w:rsid w:val="00EA25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2E5DA-2237-4809-9BCA-EBB8D77C4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Creative Source, Inc.</Company>
  <LinksUpToDate>false</LinksUpToDate>
  <CharactersWithSpaces>3825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Smith</dc:creator>
  <cp:keywords/>
  <dc:description/>
  <cp:lastModifiedBy>Julienne Ryan</cp:lastModifiedBy>
  <cp:revision>2</cp:revision>
  <cp:lastPrinted>2017-02-05T20:44:00Z</cp:lastPrinted>
  <dcterms:created xsi:type="dcterms:W3CDTF">2017-02-09T12:35:00Z</dcterms:created>
  <dcterms:modified xsi:type="dcterms:W3CDTF">2017-02-09T12:35:00Z</dcterms:modified>
</cp:coreProperties>
</file>