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4EB51" w14:textId="77777777" w:rsidR="00242CBC" w:rsidRDefault="0014209E" w:rsidP="00242CBC">
      <w:pPr>
        <w:rPr>
          <w:rStyle w:val="Strong"/>
          <w:rFonts w:ascii="Arial" w:hAnsi="Arial" w:cs="Arial"/>
          <w:color w:val="000000"/>
          <w:sz w:val="20"/>
          <w:szCs w:val="20"/>
        </w:rPr>
      </w:pPr>
    </w:p>
    <w:p w14:paraId="3F843275" w14:textId="77777777" w:rsidR="00242CBC" w:rsidRPr="0090300E" w:rsidRDefault="00DA7A13" w:rsidP="00242CBC">
      <w:pPr>
        <w:jc w:val="center"/>
        <w:rPr>
          <w:rStyle w:val="Strong"/>
          <w:rFonts w:cs="Times New Roman"/>
          <w:color w:val="000000"/>
          <w:sz w:val="24"/>
          <w:szCs w:val="24"/>
        </w:rPr>
      </w:pPr>
      <w:r w:rsidRPr="0090300E">
        <w:rPr>
          <w:rFonts w:cs="Times New Roman"/>
          <w:noProof/>
          <w:sz w:val="24"/>
          <w:szCs w:val="24"/>
        </w:rPr>
        <w:drawing>
          <wp:inline distT="0" distB="0" distL="0" distR="0" wp14:anchorId="4C49312C" wp14:editId="2EF037DB">
            <wp:extent cx="1607820" cy="1665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477472" name="Picture 1" descr="C:\Users\glick\Desktop\ACI Working File\ACI Log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11119" cy="1668953"/>
                    </a:xfrm>
                    <a:prstGeom prst="rect">
                      <a:avLst/>
                    </a:prstGeom>
                    <a:noFill/>
                    <a:ln>
                      <a:noFill/>
                    </a:ln>
                  </pic:spPr>
                </pic:pic>
              </a:graphicData>
            </a:graphic>
          </wp:inline>
        </w:drawing>
      </w:r>
    </w:p>
    <w:p w14:paraId="4D90768A" w14:textId="77777777" w:rsidR="00242CBC" w:rsidRPr="0090300E" w:rsidRDefault="00DA7A13" w:rsidP="00242CBC">
      <w:pPr>
        <w:pStyle w:val="BlockSS"/>
        <w:spacing w:after="0"/>
        <w:jc w:val="center"/>
        <w:rPr>
          <w:b/>
          <w:sz w:val="28"/>
        </w:rPr>
      </w:pPr>
      <w:r w:rsidRPr="0090300E">
        <w:rPr>
          <w:b/>
          <w:sz w:val="28"/>
        </w:rPr>
        <w:t>AGRIBUSINESS COUNCIL OF INDIANA NEWSLETTER</w:t>
      </w:r>
    </w:p>
    <w:p w14:paraId="3A206346" w14:textId="77777777" w:rsidR="00242CBC" w:rsidRPr="0090300E" w:rsidRDefault="00DA7A13" w:rsidP="00242CBC">
      <w:pPr>
        <w:pStyle w:val="BlockSS"/>
        <w:spacing w:after="0"/>
        <w:jc w:val="center"/>
        <w:rPr>
          <w:b/>
          <w:i/>
          <w:sz w:val="28"/>
        </w:rPr>
      </w:pPr>
      <w:r w:rsidRPr="0090300E">
        <w:rPr>
          <w:b/>
          <w:i/>
          <w:sz w:val="28"/>
        </w:rPr>
        <w:t>Promoting Agribusiness Policy in Indiana</w:t>
      </w:r>
    </w:p>
    <w:p w14:paraId="078D57CA" w14:textId="77777777" w:rsidR="00242CBC" w:rsidRDefault="00DA7A13" w:rsidP="0044707A">
      <w:pPr>
        <w:pStyle w:val="BlockSS"/>
        <w:spacing w:after="0"/>
        <w:jc w:val="center"/>
        <w:rPr>
          <w:b/>
          <w:i/>
          <w:sz w:val="28"/>
        </w:rPr>
      </w:pPr>
      <w:r>
        <w:rPr>
          <w:b/>
          <w:i/>
          <w:sz w:val="28"/>
        </w:rPr>
        <w:t>August 18, 2017</w:t>
      </w:r>
    </w:p>
    <w:p w14:paraId="546D8E50" w14:textId="77777777" w:rsidR="00884055" w:rsidRDefault="0014209E" w:rsidP="00884055">
      <w:pPr>
        <w:spacing w:after="0" w:line="240" w:lineRule="auto"/>
        <w:rPr>
          <w:rFonts w:ascii="Times New Roman" w:hAnsi="Times New Roman" w:cs="Times New Roman"/>
          <w:color w:val="000000" w:themeColor="text1"/>
          <w:sz w:val="24"/>
          <w:szCs w:val="24"/>
        </w:rPr>
      </w:pPr>
    </w:p>
    <w:p w14:paraId="09F97A2B" w14:textId="77777777" w:rsidR="00587B4A" w:rsidRPr="00587B4A" w:rsidRDefault="00DA7A13" w:rsidP="00884055">
      <w:pPr>
        <w:spacing w:after="0" w:line="240" w:lineRule="auto"/>
        <w:rPr>
          <w:rFonts w:ascii="Times New Roman" w:hAnsi="Times New Roman" w:cs="Times New Roman"/>
          <w:b/>
          <w:color w:val="000000" w:themeColor="text1"/>
          <w:sz w:val="24"/>
          <w:szCs w:val="24"/>
        </w:rPr>
      </w:pPr>
      <w:r w:rsidRPr="00587B4A">
        <w:rPr>
          <w:rFonts w:ascii="Times New Roman" w:hAnsi="Times New Roman" w:cs="Times New Roman"/>
          <w:b/>
          <w:color w:val="000000" w:themeColor="text1"/>
          <w:sz w:val="24"/>
          <w:szCs w:val="24"/>
        </w:rPr>
        <w:t>Indiana Pesticide Review Board Meeting Notice – August 30, 2017</w:t>
      </w:r>
    </w:p>
    <w:p w14:paraId="42D074B3" w14:textId="77777777" w:rsidR="00530B3D" w:rsidRDefault="00DA7A13" w:rsidP="00884055">
      <w:pPr>
        <w:spacing w:after="0" w:line="240" w:lineRule="auto"/>
        <w:rPr>
          <w:rFonts w:ascii="Times New Roman" w:hAnsi="Times New Roman" w:cs="Times New Roman"/>
          <w:color w:val="000000" w:themeColor="text1"/>
          <w:sz w:val="24"/>
        </w:rPr>
      </w:pPr>
      <w:r w:rsidRPr="00587B4A">
        <w:rPr>
          <w:rFonts w:ascii="Times New Roman" w:hAnsi="Times New Roman" w:cs="Times New Roman"/>
          <w:color w:val="000000" w:themeColor="text1"/>
          <w:sz w:val="24"/>
        </w:rPr>
        <w:t>Our state pesticide policy board, the Indiana Pesticide Review Board, is schedu</w:t>
      </w:r>
      <w:r>
        <w:rPr>
          <w:rFonts w:ascii="Times New Roman" w:hAnsi="Times New Roman" w:cs="Times New Roman"/>
          <w:color w:val="000000" w:themeColor="text1"/>
          <w:sz w:val="24"/>
        </w:rPr>
        <w:t xml:space="preserve">led to meet on August 30, 2017.  </w:t>
      </w:r>
      <w:hyperlink r:id="rId7" w:history="1">
        <w:r w:rsidRPr="00587B4A">
          <w:rPr>
            <w:rStyle w:val="Hyperlink"/>
            <w:rFonts w:ascii="Times New Roman" w:hAnsi="Times New Roman" w:cs="Times New Roman"/>
            <w:sz w:val="24"/>
          </w:rPr>
          <w:t>Click HERE</w:t>
        </w:r>
      </w:hyperlink>
      <w:r>
        <w:rPr>
          <w:rFonts w:ascii="Times New Roman" w:hAnsi="Times New Roman" w:cs="Times New Roman"/>
          <w:color w:val="000000" w:themeColor="text1"/>
          <w:sz w:val="24"/>
        </w:rPr>
        <w:t xml:space="preserve"> for the </w:t>
      </w:r>
      <w:r w:rsidRPr="00587B4A">
        <w:rPr>
          <w:rFonts w:ascii="Times New Roman" w:hAnsi="Times New Roman" w:cs="Times New Roman"/>
          <w:color w:val="000000" w:themeColor="text1"/>
          <w:sz w:val="24"/>
        </w:rPr>
        <w:t xml:space="preserve">agenda </w:t>
      </w:r>
      <w:r>
        <w:rPr>
          <w:rFonts w:ascii="Times New Roman" w:hAnsi="Times New Roman" w:cs="Times New Roman"/>
          <w:color w:val="000000" w:themeColor="text1"/>
          <w:sz w:val="24"/>
        </w:rPr>
        <w:t>and link for that meeting</w:t>
      </w:r>
      <w:r w:rsidRPr="00587B4A">
        <w:rPr>
          <w:rFonts w:ascii="Times New Roman" w:hAnsi="Times New Roman" w:cs="Times New Roman"/>
          <w:color w:val="1F497D"/>
          <w:sz w:val="24"/>
        </w:rPr>
        <w:t>.</w:t>
      </w:r>
      <w:r>
        <w:rPr>
          <w:rFonts w:ascii="Times New Roman" w:hAnsi="Times New Roman" w:cs="Times New Roman"/>
          <w:color w:val="1F497D"/>
          <w:sz w:val="24"/>
        </w:rPr>
        <w:t xml:space="preserve"> </w:t>
      </w:r>
      <w:r w:rsidRPr="00587B4A">
        <w:rPr>
          <w:rFonts w:ascii="Times New Roman" w:hAnsi="Times New Roman" w:cs="Times New Roman"/>
          <w:color w:val="1F497D"/>
          <w:sz w:val="24"/>
        </w:rPr>
        <w:t xml:space="preserve"> </w:t>
      </w:r>
      <w:proofErr w:type="spellStart"/>
      <w:r w:rsidRPr="00587B4A">
        <w:rPr>
          <w:rFonts w:ascii="Times New Roman" w:hAnsi="Times New Roman" w:cs="Times New Roman"/>
          <w:color w:val="000000" w:themeColor="text1"/>
          <w:sz w:val="24"/>
        </w:rPr>
        <w:t>Dicamba</w:t>
      </w:r>
      <w:proofErr w:type="spellEnd"/>
      <w:r w:rsidRPr="00587B4A">
        <w:rPr>
          <w:rFonts w:ascii="Times New Roman" w:hAnsi="Times New Roman" w:cs="Times New Roman"/>
          <w:color w:val="000000" w:themeColor="text1"/>
          <w:sz w:val="24"/>
        </w:rPr>
        <w:t xml:space="preserve"> is a major</w:t>
      </w:r>
      <w:r>
        <w:rPr>
          <w:rFonts w:ascii="Times New Roman" w:hAnsi="Times New Roman" w:cs="Times New Roman"/>
          <w:color w:val="000000" w:themeColor="text1"/>
          <w:sz w:val="24"/>
        </w:rPr>
        <w:t xml:space="preserve"> agenda item for the meeting and it </w:t>
      </w:r>
      <w:r w:rsidRPr="00587B4A">
        <w:rPr>
          <w:rFonts w:ascii="Times New Roman" w:hAnsi="Times New Roman" w:cs="Times New Roman"/>
          <w:color w:val="000000" w:themeColor="text1"/>
          <w:sz w:val="24"/>
        </w:rPr>
        <w:t>is unclear at th</w:t>
      </w:r>
      <w:r>
        <w:rPr>
          <w:rFonts w:ascii="Times New Roman" w:hAnsi="Times New Roman" w:cs="Times New Roman"/>
          <w:color w:val="000000" w:themeColor="text1"/>
          <w:sz w:val="24"/>
        </w:rPr>
        <w:t>is point what path forward the b</w:t>
      </w:r>
      <w:r w:rsidRPr="00587B4A">
        <w:rPr>
          <w:rFonts w:ascii="Times New Roman" w:hAnsi="Times New Roman" w:cs="Times New Roman"/>
          <w:color w:val="000000" w:themeColor="text1"/>
          <w:sz w:val="24"/>
        </w:rPr>
        <w:t>oard may identify f</w:t>
      </w:r>
      <w:r>
        <w:rPr>
          <w:rFonts w:ascii="Times New Roman" w:hAnsi="Times New Roman" w:cs="Times New Roman"/>
          <w:color w:val="000000" w:themeColor="text1"/>
          <w:sz w:val="24"/>
        </w:rPr>
        <w:t xml:space="preserve">or </w:t>
      </w:r>
      <w:proofErr w:type="spellStart"/>
      <w:r>
        <w:rPr>
          <w:rFonts w:ascii="Times New Roman" w:hAnsi="Times New Roman" w:cs="Times New Roman"/>
          <w:color w:val="000000" w:themeColor="text1"/>
          <w:sz w:val="24"/>
        </w:rPr>
        <w:t>dicamba</w:t>
      </w:r>
      <w:proofErr w:type="spellEnd"/>
      <w:r>
        <w:rPr>
          <w:rFonts w:ascii="Times New Roman" w:hAnsi="Times New Roman" w:cs="Times New Roman"/>
          <w:color w:val="000000" w:themeColor="text1"/>
          <w:sz w:val="24"/>
        </w:rPr>
        <w:t xml:space="preserve"> in Indiana; however, </w:t>
      </w:r>
      <w:r w:rsidRPr="00587B4A">
        <w:rPr>
          <w:rFonts w:ascii="Times New Roman" w:hAnsi="Times New Roman" w:cs="Times New Roman"/>
          <w:color w:val="000000" w:themeColor="text1"/>
          <w:sz w:val="24"/>
        </w:rPr>
        <w:t>a stakeholder meeting</w:t>
      </w:r>
      <w:r>
        <w:rPr>
          <w:rFonts w:ascii="Times New Roman" w:hAnsi="Times New Roman" w:cs="Times New Roman"/>
          <w:color w:val="000000" w:themeColor="text1"/>
          <w:sz w:val="24"/>
        </w:rPr>
        <w:t xml:space="preserve"> might be part of the process. </w:t>
      </w:r>
    </w:p>
    <w:p w14:paraId="5219CFE4" w14:textId="77777777" w:rsidR="00E74DAF" w:rsidRDefault="0014209E" w:rsidP="00884055">
      <w:pPr>
        <w:spacing w:after="0" w:line="240" w:lineRule="auto"/>
        <w:rPr>
          <w:rFonts w:ascii="Times New Roman" w:hAnsi="Times New Roman" w:cs="Times New Roman"/>
          <w:color w:val="000000" w:themeColor="text1"/>
          <w:sz w:val="24"/>
        </w:rPr>
      </w:pPr>
    </w:p>
    <w:p w14:paraId="43494800" w14:textId="38AB4A2B" w:rsidR="00E74DAF" w:rsidRPr="00C65A1B" w:rsidRDefault="00DA7A13" w:rsidP="00884055">
      <w:pPr>
        <w:spacing w:after="0" w:line="240" w:lineRule="auto"/>
        <w:rPr>
          <w:rFonts w:ascii="Times New Roman" w:hAnsi="Times New Roman" w:cs="Times New Roman"/>
          <w:color w:val="000000" w:themeColor="text1"/>
          <w:sz w:val="24"/>
          <w:szCs w:val="24"/>
        </w:rPr>
      </w:pPr>
      <w:r w:rsidRPr="00C65A1B">
        <w:rPr>
          <w:rFonts w:ascii="Times New Roman" w:hAnsi="Times New Roman" w:cs="Times New Roman"/>
          <w:color w:val="000000" w:themeColor="text1"/>
          <w:sz w:val="24"/>
          <w:szCs w:val="24"/>
        </w:rPr>
        <w:t xml:space="preserve">In addition, please click </w:t>
      </w:r>
      <w:r w:rsidR="003A36E4">
        <w:fldChar w:fldCharType="begin"/>
      </w:r>
      <w:r w:rsidR="0014209E">
        <w:instrText>HYPERLINK "Notice to Readopt Existing Rules-c.pdf"</w:instrText>
      </w:r>
      <w:r w:rsidR="003A36E4">
        <w:fldChar w:fldCharType="separate"/>
      </w:r>
      <w:r w:rsidRPr="00DA7A13">
        <w:rPr>
          <w:rStyle w:val="Hyperlink"/>
          <w:rFonts w:ascii="Times New Roman" w:hAnsi="Times New Roman" w:cs="Times New Roman"/>
          <w:sz w:val="24"/>
          <w:szCs w:val="24"/>
        </w:rPr>
        <w:t>HERE</w:t>
      </w:r>
      <w:r w:rsidR="003A36E4">
        <w:rPr>
          <w:rStyle w:val="Hyperlink"/>
          <w:rFonts w:ascii="Times New Roman" w:hAnsi="Times New Roman" w:cs="Times New Roman"/>
          <w:sz w:val="24"/>
          <w:szCs w:val="24"/>
        </w:rPr>
        <w:fldChar w:fldCharType="end"/>
      </w:r>
      <w:bookmarkStart w:id="0" w:name="_GoBack"/>
      <w:bookmarkEnd w:id="0"/>
      <w:r w:rsidRPr="00C65A1B">
        <w:rPr>
          <w:rFonts w:ascii="Times New Roman" w:hAnsi="Times New Roman" w:cs="Times New Roman"/>
          <w:color w:val="000000" w:themeColor="text1"/>
          <w:sz w:val="24"/>
          <w:szCs w:val="24"/>
        </w:rPr>
        <w:t xml:space="preserve"> to see the notice to</w:t>
      </w:r>
      <w:r w:rsidRPr="00C65A1B">
        <w:rPr>
          <w:rFonts w:ascii="Times New Roman" w:hAnsi="Times New Roman" w:cs="Times New Roman"/>
          <w:sz w:val="24"/>
          <w:szCs w:val="24"/>
        </w:rPr>
        <w:t xml:space="preserve"> readopt existing rules at the Pesticide Board. </w:t>
      </w:r>
    </w:p>
    <w:p w14:paraId="6D5C1099" w14:textId="77777777" w:rsidR="000D5944" w:rsidRDefault="0014209E" w:rsidP="00884055">
      <w:pPr>
        <w:spacing w:after="0" w:line="240" w:lineRule="auto"/>
        <w:rPr>
          <w:rFonts w:ascii="Times New Roman" w:hAnsi="Times New Roman" w:cs="Times New Roman"/>
          <w:b/>
          <w:color w:val="000000" w:themeColor="text1"/>
          <w:sz w:val="24"/>
          <w:szCs w:val="24"/>
        </w:rPr>
      </w:pPr>
    </w:p>
    <w:p w14:paraId="7FF5AD4C" w14:textId="77777777" w:rsidR="000D5944" w:rsidRDefault="00DA7A13" w:rsidP="000D5944">
      <w:pPr>
        <w:spacing w:line="240" w:lineRule="auto"/>
        <w:rPr>
          <w:rFonts w:ascii="Times New Roman" w:hAnsi="Times New Roman" w:cs="Times New Roman"/>
          <w:b/>
          <w:bCs/>
          <w:sz w:val="24"/>
        </w:rPr>
      </w:pPr>
      <w:r w:rsidRPr="000D5944">
        <w:rPr>
          <w:rFonts w:ascii="Times New Roman" w:hAnsi="Times New Roman" w:cs="Times New Roman"/>
          <w:b/>
          <w:bCs/>
          <w:sz w:val="24"/>
        </w:rPr>
        <w:t>ACI Government Affairs Survey</w:t>
      </w:r>
    </w:p>
    <w:p w14:paraId="0F063639" w14:textId="77777777" w:rsidR="000D5944" w:rsidRDefault="00DA7A13" w:rsidP="000D5944">
      <w:pPr>
        <w:spacing w:line="240" w:lineRule="auto"/>
        <w:rPr>
          <w:rFonts w:ascii="Times New Roman" w:hAnsi="Times New Roman" w:cs="Times New Roman"/>
          <w:sz w:val="24"/>
        </w:rPr>
      </w:pPr>
      <w:r w:rsidRPr="000D5944">
        <w:rPr>
          <w:rFonts w:ascii="Times New Roman" w:hAnsi="Times New Roman" w:cs="Times New Roman"/>
          <w:sz w:val="24"/>
        </w:rPr>
        <w:t xml:space="preserve">The ACI Government Affairs Committee is seeking input from members about their policy engagement and more.  Please click </w:t>
      </w:r>
      <w:hyperlink r:id="rId8" w:history="1">
        <w:r w:rsidRPr="000D5944">
          <w:rPr>
            <w:rStyle w:val="Hyperlink"/>
            <w:rFonts w:ascii="Times New Roman" w:hAnsi="Times New Roman" w:cs="Times New Roman"/>
            <w:sz w:val="24"/>
          </w:rPr>
          <w:t>HERE</w:t>
        </w:r>
      </w:hyperlink>
      <w:r w:rsidRPr="000D5944">
        <w:rPr>
          <w:rFonts w:ascii="Times New Roman" w:hAnsi="Times New Roman" w:cs="Times New Roman"/>
          <w:sz w:val="24"/>
        </w:rPr>
        <w:t xml:space="preserve"> to take a short survey which will help the committee develop communications, programming and more.  </w:t>
      </w:r>
    </w:p>
    <w:tbl>
      <w:tblPr>
        <w:tblW w:w="5000" w:type="pct"/>
        <w:jc w:val="center"/>
        <w:tblCellSpacing w:w="0" w:type="dxa"/>
        <w:tblCellMar>
          <w:left w:w="0" w:type="dxa"/>
          <w:right w:w="0" w:type="dxa"/>
        </w:tblCellMar>
        <w:tblLook w:val="04A0" w:firstRow="1" w:lastRow="0" w:firstColumn="1" w:lastColumn="0" w:noHBand="0" w:noVBand="1"/>
      </w:tblPr>
      <w:tblGrid>
        <w:gridCol w:w="9960"/>
      </w:tblGrid>
      <w:tr w:rsidR="003C7558" w14:paraId="2C49C3DC" w14:textId="77777777" w:rsidTr="00AB77E1">
        <w:trPr>
          <w:tblCellSpacing w:w="0" w:type="dxa"/>
          <w:jc w:val="center"/>
        </w:trPr>
        <w:tc>
          <w:tcPr>
            <w:tcW w:w="0" w:type="auto"/>
            <w:tcMar>
              <w:top w:w="105" w:type="dxa"/>
              <w:left w:w="300" w:type="dxa"/>
              <w:bottom w:w="105" w:type="dxa"/>
              <w:right w:w="300" w:type="dxa"/>
            </w:tcMar>
            <w:hideMark/>
          </w:tcPr>
          <w:p w14:paraId="7C5AD4B0" w14:textId="77777777" w:rsidR="00AB77E1" w:rsidRDefault="00DA7A13" w:rsidP="00AB77E1">
            <w:pPr>
              <w:spacing w:after="0" w:line="240" w:lineRule="auto"/>
              <w:rPr>
                <w:rFonts w:ascii="Times New Roman" w:hAnsi="Times New Roman" w:cs="Times New Roman"/>
                <w:b/>
                <w:bCs/>
                <w:color w:val="000000" w:themeColor="text1"/>
                <w:sz w:val="24"/>
                <w:szCs w:val="24"/>
              </w:rPr>
            </w:pPr>
            <w:r w:rsidRPr="00AB77E1">
              <w:rPr>
                <w:rFonts w:ascii="Times New Roman" w:hAnsi="Times New Roman" w:cs="Times New Roman"/>
                <w:b/>
                <w:bCs/>
                <w:color w:val="000000" w:themeColor="text1"/>
                <w:sz w:val="24"/>
                <w:szCs w:val="24"/>
              </w:rPr>
              <w:t>NGFA, Ag Transportation Working Group, urge STB to hold CSXT accountable for service failures</w:t>
            </w:r>
          </w:p>
          <w:p w14:paraId="439E55AE" w14:textId="77777777" w:rsidR="00AB77E1" w:rsidRPr="00AB77E1" w:rsidRDefault="00DA7A13" w:rsidP="00AB77E1">
            <w:pPr>
              <w:spacing w:after="0" w:line="240" w:lineRule="auto"/>
              <w:rPr>
                <w:rFonts w:ascii="Times New Roman" w:hAnsi="Times New Roman" w:cs="Times New Roman"/>
                <w:bCs/>
                <w:i/>
                <w:color w:val="000000" w:themeColor="text1"/>
                <w:sz w:val="24"/>
                <w:szCs w:val="24"/>
              </w:rPr>
            </w:pPr>
            <w:r w:rsidRPr="00AB77E1">
              <w:rPr>
                <w:rFonts w:ascii="Times New Roman" w:hAnsi="Times New Roman" w:cs="Times New Roman"/>
                <w:bCs/>
                <w:i/>
                <w:color w:val="000000" w:themeColor="text1"/>
                <w:sz w:val="24"/>
                <w:szCs w:val="24"/>
              </w:rPr>
              <w:t>Source:  NGFA</w:t>
            </w:r>
          </w:p>
        </w:tc>
      </w:tr>
    </w:tbl>
    <w:p w14:paraId="24EBABFC" w14:textId="77777777" w:rsidR="00AB77E1" w:rsidRPr="00AB77E1" w:rsidRDefault="0014209E" w:rsidP="00AB77E1">
      <w:pPr>
        <w:spacing w:line="240" w:lineRule="auto"/>
        <w:jc w:val="center"/>
        <w:rPr>
          <w:rFonts w:ascii="Times New Roman" w:hAnsi="Times New Roman" w:cs="Times New Roman"/>
          <w:vanish/>
          <w:color w:val="000000" w:themeColor="text1"/>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960"/>
      </w:tblGrid>
      <w:tr w:rsidR="003C7558" w14:paraId="64ED5A13" w14:textId="77777777" w:rsidTr="00AB77E1">
        <w:trPr>
          <w:tblCellSpacing w:w="0" w:type="dxa"/>
          <w:jc w:val="center"/>
        </w:trPr>
        <w:tc>
          <w:tcPr>
            <w:tcW w:w="0" w:type="auto"/>
            <w:tcMar>
              <w:top w:w="120" w:type="dxa"/>
              <w:left w:w="300" w:type="dxa"/>
              <w:bottom w:w="120" w:type="dxa"/>
              <w:right w:w="300" w:type="dxa"/>
            </w:tcMar>
          </w:tcPr>
          <w:p w14:paraId="0031ACF4" w14:textId="77777777" w:rsidR="00AB77E1" w:rsidRPr="00AB77E1" w:rsidRDefault="00DA7A13" w:rsidP="00AB77E1">
            <w:pPr>
              <w:shd w:val="clear" w:color="auto" w:fill="FFFFFF"/>
              <w:spacing w:line="240" w:lineRule="auto"/>
              <w:textAlignment w:val="baseline"/>
              <w:rPr>
                <w:rFonts w:ascii="Times New Roman" w:hAnsi="Times New Roman" w:cs="Times New Roman"/>
                <w:color w:val="000000" w:themeColor="text1"/>
                <w:sz w:val="24"/>
                <w:szCs w:val="24"/>
                <w:bdr w:val="none" w:sz="0" w:space="0" w:color="auto" w:frame="1"/>
              </w:rPr>
            </w:pPr>
            <w:r w:rsidRPr="00AB77E1">
              <w:rPr>
                <w:rFonts w:ascii="Times New Roman" w:hAnsi="Times New Roman" w:cs="Times New Roman"/>
                <w:color w:val="000000" w:themeColor="text1"/>
                <w:sz w:val="24"/>
                <w:szCs w:val="24"/>
                <w:bdr w:val="none" w:sz="0" w:space="0" w:color="auto" w:frame="1"/>
                <w:shd w:val="clear" w:color="auto" w:fill="FFFFFF"/>
              </w:rPr>
              <w:t xml:space="preserve">The Agricultural Transportation Working Group - a diverse network of national farm, commodity group and agribusiness organizations, including the National Grain and Feed Association (NGFA) - called upon the Surface Transportation Board (STB) today </w:t>
            </w:r>
            <w:r>
              <w:rPr>
                <w:rFonts w:ascii="Times New Roman" w:hAnsi="Times New Roman" w:cs="Times New Roman"/>
                <w:color w:val="000000" w:themeColor="text1"/>
                <w:sz w:val="24"/>
                <w:szCs w:val="24"/>
                <w:bdr w:val="none" w:sz="0" w:space="0" w:color="auto" w:frame="1"/>
                <w:shd w:val="clear" w:color="auto" w:fill="FFFFFF"/>
              </w:rPr>
              <w:t xml:space="preserve">(August 17, 2017) </w:t>
            </w:r>
            <w:r w:rsidRPr="00AB77E1">
              <w:rPr>
                <w:rFonts w:ascii="Times New Roman" w:hAnsi="Times New Roman" w:cs="Times New Roman"/>
                <w:color w:val="000000" w:themeColor="text1"/>
                <w:sz w:val="24"/>
                <w:szCs w:val="24"/>
                <w:bdr w:val="none" w:sz="0" w:space="0" w:color="auto" w:frame="1"/>
                <w:shd w:val="clear" w:color="auto" w:fill="FFFFFF"/>
              </w:rPr>
              <w:t xml:space="preserve">to </w:t>
            </w:r>
            <w:r w:rsidRPr="00AB77E1">
              <w:rPr>
                <w:rFonts w:ascii="Times New Roman" w:hAnsi="Times New Roman" w:cs="Times New Roman"/>
                <w:color w:val="000000" w:themeColor="text1"/>
                <w:sz w:val="24"/>
                <w:szCs w:val="24"/>
                <w:bdr w:val="none" w:sz="0" w:space="0" w:color="auto" w:frame="1"/>
              </w:rPr>
              <w:t>aggressively continue its efforts to examine the underlying reasons for the precipitous, deteriorating rail service being provided by CSXT.</w:t>
            </w:r>
          </w:p>
          <w:p w14:paraId="0CC4CE48" w14:textId="77777777" w:rsidR="00AB77E1" w:rsidRPr="00AB77E1" w:rsidRDefault="00DA7A13" w:rsidP="00AB77E1">
            <w:pPr>
              <w:shd w:val="clear" w:color="auto" w:fill="FFFFFF"/>
              <w:spacing w:line="240" w:lineRule="auto"/>
              <w:textAlignment w:val="baseline"/>
              <w:rPr>
                <w:rFonts w:ascii="Times New Roman" w:hAnsi="Times New Roman" w:cs="Times New Roman"/>
                <w:color w:val="000000" w:themeColor="text1"/>
                <w:sz w:val="24"/>
                <w:szCs w:val="24"/>
                <w:bdr w:val="none" w:sz="0" w:space="0" w:color="auto" w:frame="1"/>
              </w:rPr>
            </w:pPr>
            <w:r w:rsidRPr="00AB77E1">
              <w:rPr>
                <w:rFonts w:ascii="Times New Roman" w:hAnsi="Times New Roman" w:cs="Times New Roman"/>
                <w:color w:val="000000" w:themeColor="text1"/>
                <w:sz w:val="24"/>
                <w:szCs w:val="24"/>
                <w:bdr w:val="none" w:sz="0" w:space="0" w:color="auto" w:frame="1"/>
              </w:rPr>
              <w:t xml:space="preserve">"We are concerned that CSXT's already-chronic service problems may only worsen as demand for rail service increases during the fall peak season, which will include near-record grain and oilseed harvests," states the letter, which was signed by 18 national producer, commodity and agribusiness organizations. </w:t>
            </w:r>
          </w:p>
          <w:p w14:paraId="752A5820" w14:textId="77777777" w:rsidR="00AB77E1" w:rsidRPr="00AB77E1" w:rsidRDefault="00DA7A13" w:rsidP="00AB77E1">
            <w:pPr>
              <w:shd w:val="clear" w:color="auto" w:fill="FFFFFF"/>
              <w:spacing w:line="240" w:lineRule="auto"/>
              <w:textAlignment w:val="baseline"/>
              <w:rPr>
                <w:rFonts w:ascii="Times New Roman" w:hAnsi="Times New Roman" w:cs="Times New Roman"/>
                <w:color w:val="000000" w:themeColor="text1"/>
                <w:sz w:val="24"/>
                <w:szCs w:val="24"/>
                <w:bdr w:val="none" w:sz="0" w:space="0" w:color="auto" w:frame="1"/>
              </w:rPr>
            </w:pPr>
            <w:r w:rsidRPr="00AB77E1">
              <w:rPr>
                <w:rFonts w:ascii="Times New Roman" w:hAnsi="Times New Roman" w:cs="Times New Roman"/>
                <w:color w:val="000000" w:themeColor="text1"/>
                <w:sz w:val="24"/>
                <w:szCs w:val="24"/>
                <w:bdr w:val="none" w:sz="0" w:space="0" w:color="auto" w:frame="1"/>
              </w:rPr>
              <w:t xml:space="preserve"> The groups noted that America's transportation infrastructure - including freight rail - is an "essential component of U.S. agriculture's world-class productivity and competitiveness, which contribute substantially to American job creation, U.S. economic growth and world food </w:t>
            </w:r>
            <w:r>
              <w:rPr>
                <w:rFonts w:ascii="Times New Roman" w:hAnsi="Times New Roman" w:cs="Times New Roman"/>
                <w:color w:val="000000" w:themeColor="text1"/>
                <w:sz w:val="24"/>
                <w:szCs w:val="24"/>
                <w:bdr w:val="none" w:sz="0" w:space="0" w:color="auto" w:frame="1"/>
              </w:rPr>
              <w:lastRenderedPageBreak/>
              <w:t>se</w:t>
            </w:r>
            <w:r w:rsidRPr="00AB77E1">
              <w:rPr>
                <w:rFonts w:ascii="Times New Roman" w:hAnsi="Times New Roman" w:cs="Times New Roman"/>
                <w:color w:val="000000" w:themeColor="text1"/>
                <w:sz w:val="24"/>
                <w:szCs w:val="24"/>
                <w:bdr w:val="none" w:sz="0" w:space="0" w:color="auto" w:frame="1"/>
              </w:rPr>
              <w:t>curity."</w:t>
            </w:r>
          </w:p>
          <w:p w14:paraId="7483C623" w14:textId="77777777" w:rsidR="00AB77E1" w:rsidRPr="00AB77E1" w:rsidRDefault="00DA7A13" w:rsidP="00AB77E1">
            <w:pPr>
              <w:shd w:val="clear" w:color="auto" w:fill="FFFFFF"/>
              <w:spacing w:line="240" w:lineRule="auto"/>
              <w:textAlignment w:val="baseline"/>
              <w:rPr>
                <w:rFonts w:ascii="Times New Roman" w:hAnsi="Times New Roman" w:cs="Times New Roman"/>
                <w:color w:val="000000" w:themeColor="text1"/>
                <w:sz w:val="24"/>
                <w:szCs w:val="24"/>
                <w:bdr w:val="none" w:sz="0" w:space="0" w:color="auto" w:frame="1"/>
              </w:rPr>
            </w:pPr>
            <w:r w:rsidRPr="00AB77E1">
              <w:rPr>
                <w:rFonts w:ascii="Times New Roman" w:hAnsi="Times New Roman" w:cs="Times New Roman"/>
                <w:color w:val="000000" w:themeColor="text1"/>
                <w:sz w:val="24"/>
                <w:szCs w:val="24"/>
                <w:bdr w:val="none" w:sz="0" w:space="0" w:color="auto" w:frame="1"/>
                <w:shd w:val="clear" w:color="auto" w:fill="FFFFFF"/>
              </w:rPr>
              <w:t xml:space="preserve">The letter outlined a litany of significant service-related problems experienced thus far by CSXT's agricultural rail customers. The organizations asked the agency </w:t>
            </w:r>
            <w:r w:rsidRPr="00AB77E1">
              <w:rPr>
                <w:rFonts w:ascii="Times New Roman" w:hAnsi="Times New Roman" w:cs="Times New Roman"/>
                <w:color w:val="000000" w:themeColor="text1"/>
                <w:sz w:val="24"/>
                <w:szCs w:val="24"/>
                <w:bdr w:val="none" w:sz="0" w:space="0" w:color="auto" w:frame="1"/>
              </w:rPr>
              <w:t>to continue to press the railroad for its plan to rectify the harm it has caused to its customers over the past few months and to restore service to levels that comply with CSXT's statutory obligations to provide reasonable service upon reasonable request.</w:t>
            </w:r>
          </w:p>
          <w:p w14:paraId="7E552DD0" w14:textId="77777777" w:rsidR="00AB77E1" w:rsidRPr="00AB77E1" w:rsidRDefault="00DA7A13" w:rsidP="00AB77E1">
            <w:pPr>
              <w:shd w:val="clear" w:color="auto" w:fill="FFFFFF"/>
              <w:spacing w:line="240" w:lineRule="auto"/>
              <w:textAlignment w:val="baseline"/>
              <w:rPr>
                <w:rFonts w:ascii="Times New Roman" w:hAnsi="Times New Roman" w:cs="Times New Roman"/>
                <w:color w:val="000000" w:themeColor="text1"/>
                <w:sz w:val="24"/>
                <w:szCs w:val="24"/>
                <w:bdr w:val="none" w:sz="0" w:space="0" w:color="auto" w:frame="1"/>
              </w:rPr>
            </w:pPr>
            <w:r w:rsidRPr="00AB77E1">
              <w:rPr>
                <w:rFonts w:ascii="Times New Roman" w:hAnsi="Times New Roman" w:cs="Times New Roman"/>
                <w:color w:val="000000" w:themeColor="text1"/>
                <w:sz w:val="24"/>
                <w:szCs w:val="24"/>
                <w:bdr w:val="none" w:sz="0" w:space="0" w:color="auto" w:frame="1"/>
              </w:rPr>
              <w:t xml:space="preserve">The working group expressed its appreciation for the STB's action in sending its July 27 letter to CSXT President and CEO E. Hunter Harrison requesting that senior CSXT railroad officials engage in weekly conference call updates with the agency's Rail Customer and Public Assistance Office, as well as for its follow up letter sent Aug. 14 to Harrison expressing continued concern and requesting specific data addressing various service-performance indicators. </w:t>
            </w:r>
            <w:r w:rsidRPr="00AB77E1">
              <w:rPr>
                <w:rFonts w:ascii="Times New Roman" w:hAnsi="Times New Roman" w:cs="Times New Roman"/>
                <w:color w:val="000000" w:themeColor="text1"/>
                <w:sz w:val="24"/>
                <w:szCs w:val="24"/>
                <w:bdr w:val="none" w:sz="0" w:space="0" w:color="auto" w:frame="1"/>
                <w:shd w:val="clear" w:color="auto" w:fill="FFFFFF"/>
              </w:rPr>
              <w:t>However, the organizations urged the STB to take additional actions to facilitate the restoration of service before the peak fall shipping season.</w:t>
            </w:r>
          </w:p>
          <w:p w14:paraId="24CB8391" w14:textId="77777777" w:rsidR="00AB77E1" w:rsidRPr="00AB77E1" w:rsidRDefault="00DA7A13" w:rsidP="00AB77E1">
            <w:pPr>
              <w:shd w:val="clear" w:color="auto" w:fill="FFFFFF"/>
              <w:spacing w:line="240" w:lineRule="auto"/>
              <w:textAlignment w:val="baseline"/>
              <w:rPr>
                <w:rFonts w:ascii="Times New Roman" w:hAnsi="Times New Roman" w:cs="Times New Roman"/>
                <w:color w:val="000000" w:themeColor="text1"/>
                <w:sz w:val="24"/>
                <w:szCs w:val="24"/>
                <w:bdr w:val="none" w:sz="0" w:space="0" w:color="auto" w:frame="1"/>
              </w:rPr>
            </w:pPr>
            <w:r w:rsidRPr="00AB77E1">
              <w:rPr>
                <w:rFonts w:ascii="Times New Roman" w:hAnsi="Times New Roman" w:cs="Times New Roman"/>
                <w:color w:val="000000" w:themeColor="text1"/>
                <w:sz w:val="24"/>
                <w:szCs w:val="24"/>
                <w:bdr w:val="none" w:sz="0" w:space="0" w:color="auto" w:frame="1"/>
              </w:rPr>
              <w:t> "We respectfully believe that the gravity and widespread geographical nature of CSXT's service disruptions warrant further action by the (STB) to determine the underlying causes, the short- and long-term implications to rail customers, and the adequacy of any service recovery plan(</w:t>
            </w:r>
            <w:proofErr w:type="spellStart"/>
            <w:r w:rsidRPr="00AB77E1">
              <w:rPr>
                <w:rFonts w:ascii="Times New Roman" w:hAnsi="Times New Roman" w:cs="Times New Roman"/>
                <w:color w:val="000000" w:themeColor="text1"/>
                <w:sz w:val="24"/>
                <w:szCs w:val="24"/>
                <w:bdr w:val="none" w:sz="0" w:space="0" w:color="auto" w:frame="1"/>
              </w:rPr>
              <w:t>s</w:t>
            </w:r>
            <w:proofErr w:type="spellEnd"/>
            <w:r w:rsidRPr="00AB77E1">
              <w:rPr>
                <w:rFonts w:ascii="Times New Roman" w:hAnsi="Times New Roman" w:cs="Times New Roman"/>
                <w:color w:val="000000" w:themeColor="text1"/>
                <w:sz w:val="24"/>
                <w:szCs w:val="24"/>
                <w:bdr w:val="none" w:sz="0" w:space="0" w:color="auto" w:frame="1"/>
              </w:rPr>
              <w:t>) being contemplated by CSXT," the letter states.</w:t>
            </w:r>
          </w:p>
          <w:p w14:paraId="2E832705" w14:textId="77777777" w:rsidR="00AB77E1" w:rsidRPr="00AB77E1" w:rsidRDefault="00DA7A13" w:rsidP="00AB77E1">
            <w:pPr>
              <w:shd w:val="clear" w:color="auto" w:fill="FFFFFF"/>
              <w:spacing w:line="240" w:lineRule="auto"/>
              <w:textAlignment w:val="baseline"/>
              <w:rPr>
                <w:rFonts w:ascii="Times New Roman" w:hAnsi="Times New Roman" w:cs="Times New Roman"/>
                <w:color w:val="000000" w:themeColor="text1"/>
                <w:sz w:val="24"/>
                <w:szCs w:val="24"/>
                <w:bdr w:val="none" w:sz="0" w:space="0" w:color="auto" w:frame="1"/>
              </w:rPr>
            </w:pPr>
            <w:r w:rsidRPr="00AB77E1">
              <w:rPr>
                <w:rFonts w:ascii="Times New Roman" w:hAnsi="Times New Roman" w:cs="Times New Roman"/>
                <w:color w:val="000000" w:themeColor="text1"/>
                <w:sz w:val="24"/>
                <w:szCs w:val="24"/>
                <w:bdr w:val="none" w:sz="0" w:space="0" w:color="auto" w:frame="1"/>
              </w:rPr>
              <w:t>Among several specific requests, the groups asked the STB to hold CSXT accountable to meet specific, measurable targets for restoring service under its recovery plan, to explore ways to provide additional transparency regarding substantive information on CSXT's service performance that would be valuable to rail users in their logistics planning, and to promptly resume activity on existing Board proceedings related to enhancing rail competition, particularly to replace the agency's outdated rules governing reciprocal switching that could help alleviate some of the harm incurred by shippers captive to an incumbent railroad by enabling them to receive service from an alternative carrier.</w:t>
            </w:r>
          </w:p>
          <w:p w14:paraId="787CC062" w14:textId="77777777" w:rsidR="00AB77E1" w:rsidRPr="00AB77E1" w:rsidRDefault="00DA7A13" w:rsidP="00AB77E1">
            <w:pPr>
              <w:shd w:val="clear" w:color="auto" w:fill="FFFFFF"/>
              <w:spacing w:line="240" w:lineRule="auto"/>
              <w:textAlignment w:val="baseline"/>
              <w:rPr>
                <w:rFonts w:ascii="Times New Roman" w:hAnsi="Times New Roman" w:cs="Times New Roman"/>
                <w:color w:val="000000" w:themeColor="text1"/>
                <w:sz w:val="24"/>
                <w:szCs w:val="24"/>
                <w:bdr w:val="none" w:sz="0" w:space="0" w:color="auto" w:frame="1"/>
              </w:rPr>
            </w:pPr>
            <w:r w:rsidRPr="00AB77E1">
              <w:rPr>
                <w:rFonts w:ascii="Times New Roman" w:hAnsi="Times New Roman" w:cs="Times New Roman"/>
                <w:color w:val="000000" w:themeColor="text1"/>
                <w:sz w:val="24"/>
                <w:szCs w:val="24"/>
                <w:bdr w:val="none" w:sz="0" w:space="0" w:color="auto" w:frame="1"/>
              </w:rPr>
              <w:t xml:space="preserve"> View the letter </w:t>
            </w:r>
            <w:hyperlink r:id="rId9" w:tgtFrame="_blank" w:history="1">
              <w:r w:rsidRPr="00AB77E1">
                <w:rPr>
                  <w:rStyle w:val="Hyperlink"/>
                  <w:rFonts w:ascii="Times New Roman" w:hAnsi="Times New Roman" w:cs="Times New Roman"/>
                  <w:color w:val="000000" w:themeColor="text1"/>
                  <w:sz w:val="24"/>
                  <w:szCs w:val="24"/>
                  <w:bdr w:val="none" w:sz="0" w:space="0" w:color="auto" w:frame="1"/>
                </w:rPr>
                <w:t>here</w:t>
              </w:r>
            </w:hyperlink>
            <w:r w:rsidRPr="00AB77E1">
              <w:rPr>
                <w:rFonts w:ascii="Times New Roman" w:hAnsi="Times New Roman" w:cs="Times New Roman"/>
                <w:color w:val="000000" w:themeColor="text1"/>
                <w:sz w:val="24"/>
                <w:szCs w:val="24"/>
                <w:bdr w:val="none" w:sz="0" w:space="0" w:color="auto" w:frame="1"/>
              </w:rPr>
              <w:t xml:space="preserve"> and more NGFA rail-related official statements </w:t>
            </w:r>
            <w:hyperlink r:id="rId10" w:tgtFrame="_blank" w:history="1">
              <w:r w:rsidRPr="00AB77E1">
                <w:rPr>
                  <w:rStyle w:val="Hyperlink"/>
                  <w:rFonts w:ascii="Times New Roman" w:hAnsi="Times New Roman" w:cs="Times New Roman"/>
                  <w:color w:val="000000" w:themeColor="text1"/>
                  <w:sz w:val="24"/>
                  <w:szCs w:val="24"/>
                  <w:bdr w:val="none" w:sz="0" w:space="0" w:color="auto" w:frame="1"/>
                </w:rPr>
                <w:t>here</w:t>
              </w:r>
            </w:hyperlink>
            <w:r w:rsidRPr="00AB77E1">
              <w:rPr>
                <w:rFonts w:ascii="Times New Roman" w:hAnsi="Times New Roman" w:cs="Times New Roman"/>
                <w:color w:val="000000" w:themeColor="text1"/>
                <w:sz w:val="24"/>
                <w:szCs w:val="24"/>
                <w:bdr w:val="none" w:sz="0" w:space="0" w:color="auto" w:frame="1"/>
              </w:rPr>
              <w:t>. </w:t>
            </w:r>
          </w:p>
        </w:tc>
      </w:tr>
    </w:tbl>
    <w:p w14:paraId="00A56917" w14:textId="77777777" w:rsidR="000D5944" w:rsidRPr="000D5944" w:rsidRDefault="00DA7A13" w:rsidP="000D5944">
      <w:pPr>
        <w:spacing w:after="0" w:line="240" w:lineRule="auto"/>
        <w:rPr>
          <w:rFonts w:ascii="Times New Roman" w:hAnsi="Times New Roman" w:cs="Times New Roman"/>
          <w:b/>
          <w:color w:val="000000" w:themeColor="text1"/>
          <w:sz w:val="24"/>
          <w:szCs w:val="24"/>
        </w:rPr>
      </w:pPr>
      <w:r w:rsidRPr="000D5944">
        <w:rPr>
          <w:rFonts w:ascii="Times New Roman" w:hAnsi="Times New Roman" w:cs="Times New Roman"/>
          <w:b/>
          <w:color w:val="000000" w:themeColor="text1"/>
          <w:sz w:val="24"/>
          <w:szCs w:val="24"/>
        </w:rPr>
        <w:lastRenderedPageBreak/>
        <w:t>Updated Listing of Approved Medicated Feed Mill Licenses and Veterinary Feed Directive Distributor Notifications</w:t>
      </w:r>
    </w:p>
    <w:p w14:paraId="64BD5731" w14:textId="77777777" w:rsidR="000D5944" w:rsidRPr="000D5944" w:rsidRDefault="00DA7A13" w:rsidP="000D5944">
      <w:pPr>
        <w:spacing w:after="0" w:line="240" w:lineRule="auto"/>
        <w:rPr>
          <w:rFonts w:ascii="Times New Roman" w:hAnsi="Times New Roman" w:cs="Times New Roman"/>
          <w:i/>
          <w:color w:val="000000" w:themeColor="text1"/>
          <w:sz w:val="24"/>
          <w:szCs w:val="24"/>
        </w:rPr>
      </w:pPr>
      <w:r w:rsidRPr="000D5944">
        <w:rPr>
          <w:rFonts w:ascii="Times New Roman" w:hAnsi="Times New Roman" w:cs="Times New Roman"/>
          <w:i/>
          <w:color w:val="000000" w:themeColor="text1"/>
          <w:sz w:val="24"/>
          <w:szCs w:val="24"/>
        </w:rPr>
        <w:t xml:space="preserve">Source:  American Feed Industry Association </w:t>
      </w:r>
    </w:p>
    <w:p w14:paraId="4EC6E9B6" w14:textId="77777777" w:rsidR="000D5944" w:rsidRPr="000D5944" w:rsidRDefault="00DA7A13" w:rsidP="000D5944">
      <w:pPr>
        <w:pStyle w:val="NormalWeb"/>
        <w:spacing w:line="240" w:lineRule="auto"/>
        <w:rPr>
          <w:rFonts w:ascii="Times New Roman" w:hAnsi="Times New Roman"/>
          <w:color w:val="000000" w:themeColor="text1"/>
          <w:sz w:val="24"/>
          <w:szCs w:val="24"/>
        </w:rPr>
      </w:pPr>
      <w:r w:rsidRPr="000D5944">
        <w:rPr>
          <w:rFonts w:ascii="Times New Roman" w:hAnsi="Times New Roman"/>
          <w:color w:val="000000" w:themeColor="text1"/>
          <w:sz w:val="24"/>
          <w:szCs w:val="24"/>
        </w:rPr>
        <w:t>FDA's Center for Veterinary Medicine (CVM) has released the updated lists of licensed medicated feed mills and VFD distributor notifications. You can follow the links below to access these lists:</w:t>
      </w:r>
    </w:p>
    <w:p w14:paraId="4000DA89" w14:textId="77777777" w:rsidR="000D5944" w:rsidRPr="000D5944" w:rsidRDefault="0014209E" w:rsidP="000D5944">
      <w:pPr>
        <w:pStyle w:val="NormalWeb"/>
        <w:spacing w:line="240" w:lineRule="auto"/>
        <w:rPr>
          <w:rFonts w:ascii="Times New Roman" w:hAnsi="Times New Roman"/>
          <w:sz w:val="24"/>
          <w:szCs w:val="24"/>
        </w:rPr>
      </w:pPr>
      <w:hyperlink r:id="rId11" w:history="1">
        <w:r w:rsidR="00DA7A13" w:rsidRPr="000D5944">
          <w:rPr>
            <w:rStyle w:val="Hyperlink"/>
            <w:rFonts w:ascii="Times New Roman" w:hAnsi="Times New Roman"/>
            <w:sz w:val="24"/>
            <w:szCs w:val="24"/>
          </w:rPr>
          <w:t>Updated Listing of Approved Medicated Feed Mill Licenses</w:t>
        </w:r>
      </w:hyperlink>
      <w:r w:rsidR="00DA7A13" w:rsidRPr="000D5944">
        <w:rPr>
          <w:rFonts w:ascii="Times New Roman" w:hAnsi="Times New Roman"/>
          <w:sz w:val="24"/>
          <w:szCs w:val="24"/>
        </w:rPr>
        <w:t xml:space="preserve"> </w:t>
      </w:r>
    </w:p>
    <w:p w14:paraId="7BCC976D" w14:textId="77777777" w:rsidR="000D5944" w:rsidRPr="000D5944" w:rsidRDefault="00DA7A13" w:rsidP="000D5944">
      <w:pPr>
        <w:pStyle w:val="NormalWeb"/>
        <w:spacing w:line="240" w:lineRule="auto"/>
        <w:rPr>
          <w:rFonts w:ascii="Times New Roman" w:hAnsi="Times New Roman"/>
          <w:color w:val="000000" w:themeColor="text1"/>
          <w:sz w:val="24"/>
          <w:szCs w:val="24"/>
        </w:rPr>
      </w:pPr>
      <w:r w:rsidRPr="000D5944">
        <w:rPr>
          <w:rFonts w:ascii="Times New Roman" w:hAnsi="Times New Roman"/>
          <w:color w:val="000000" w:themeColor="text1"/>
          <w:sz w:val="24"/>
          <w:szCs w:val="24"/>
        </w:rPr>
        <w:t xml:space="preserve">An approved medicated feed mill license is required for facilities that manufacture feed using Category II, </w:t>
      </w:r>
      <w:proofErr w:type="gramStart"/>
      <w:r w:rsidRPr="000D5944">
        <w:rPr>
          <w:rFonts w:ascii="Times New Roman" w:hAnsi="Times New Roman"/>
          <w:color w:val="000000" w:themeColor="text1"/>
          <w:sz w:val="24"/>
          <w:szCs w:val="24"/>
        </w:rPr>
        <w:t>Type</w:t>
      </w:r>
      <w:proofErr w:type="gramEnd"/>
      <w:r w:rsidRPr="000D5944">
        <w:rPr>
          <w:rFonts w:ascii="Times New Roman" w:hAnsi="Times New Roman"/>
          <w:color w:val="000000" w:themeColor="text1"/>
          <w:sz w:val="24"/>
          <w:szCs w:val="24"/>
        </w:rPr>
        <w:t xml:space="preserve"> a medicated articles or manufacture certain liquid and free-choice feed, using Category I, Type A medicated articles that must follow proprietary formulas or specifications.</w:t>
      </w:r>
    </w:p>
    <w:p w14:paraId="72DA32BF" w14:textId="77777777" w:rsidR="000D5944" w:rsidRPr="000D5944" w:rsidRDefault="0014209E" w:rsidP="000D5944">
      <w:pPr>
        <w:pStyle w:val="NormalWeb"/>
        <w:spacing w:line="240" w:lineRule="auto"/>
        <w:rPr>
          <w:rFonts w:ascii="Times New Roman" w:hAnsi="Times New Roman"/>
          <w:sz w:val="24"/>
          <w:szCs w:val="24"/>
        </w:rPr>
      </w:pPr>
      <w:hyperlink r:id="rId12" w:history="1">
        <w:r w:rsidR="00DA7A13" w:rsidRPr="000D5944">
          <w:rPr>
            <w:rStyle w:val="Hyperlink"/>
            <w:rFonts w:ascii="Times New Roman" w:hAnsi="Times New Roman"/>
            <w:sz w:val="24"/>
            <w:szCs w:val="24"/>
          </w:rPr>
          <w:t>Updated Veterinary Feed Directive Distributor Notifications</w:t>
        </w:r>
      </w:hyperlink>
    </w:p>
    <w:p w14:paraId="37D9B6DC" w14:textId="77777777" w:rsidR="000D5944" w:rsidRPr="000D5944" w:rsidRDefault="00DA7A13" w:rsidP="000D5944">
      <w:pPr>
        <w:pStyle w:val="NormalWeb"/>
        <w:spacing w:line="240" w:lineRule="auto"/>
        <w:rPr>
          <w:rFonts w:ascii="Times New Roman" w:hAnsi="Times New Roman"/>
          <w:color w:val="000000" w:themeColor="text1"/>
          <w:sz w:val="24"/>
          <w:szCs w:val="24"/>
        </w:rPr>
      </w:pPr>
      <w:r w:rsidRPr="000D5944">
        <w:rPr>
          <w:rFonts w:ascii="Times New Roman" w:hAnsi="Times New Roman"/>
          <w:color w:val="000000" w:themeColor="text1"/>
          <w:sz w:val="24"/>
          <w:szCs w:val="24"/>
        </w:rPr>
        <w:t>A VFD drug is intended for use in animal feeds, and such use of the VFD drug is permitted only under the professional supervision of a licensed veterinarian.</w:t>
      </w:r>
    </w:p>
    <w:p w14:paraId="3648D7EF" w14:textId="77777777" w:rsidR="000D5944" w:rsidRPr="000D5944" w:rsidRDefault="0014209E" w:rsidP="00884055">
      <w:pPr>
        <w:spacing w:after="0" w:line="240" w:lineRule="auto"/>
        <w:rPr>
          <w:rFonts w:ascii="Times New Roman" w:hAnsi="Times New Roman" w:cs="Times New Roman"/>
          <w:i/>
          <w:color w:val="000000" w:themeColor="text1"/>
          <w:sz w:val="24"/>
          <w:szCs w:val="24"/>
        </w:rPr>
      </w:pPr>
    </w:p>
    <w:p w14:paraId="2390C6A4" w14:textId="77777777" w:rsidR="000D5944" w:rsidRDefault="0014209E" w:rsidP="00884055">
      <w:pPr>
        <w:spacing w:after="0" w:line="240" w:lineRule="auto"/>
        <w:rPr>
          <w:rFonts w:ascii="Times New Roman" w:hAnsi="Times New Roman" w:cs="Times New Roman"/>
          <w:color w:val="000000" w:themeColor="text1"/>
          <w:sz w:val="24"/>
          <w:szCs w:val="24"/>
        </w:rPr>
      </w:pPr>
    </w:p>
    <w:p w14:paraId="04213AC1" w14:textId="77777777" w:rsidR="000D5944" w:rsidRPr="00AA0E10" w:rsidRDefault="0014209E" w:rsidP="00884055">
      <w:pPr>
        <w:spacing w:after="0" w:line="240" w:lineRule="auto"/>
        <w:rPr>
          <w:rFonts w:ascii="Times New Roman" w:hAnsi="Times New Roman" w:cs="Times New Roman"/>
          <w:color w:val="000000" w:themeColor="text1"/>
          <w:sz w:val="24"/>
          <w:szCs w:val="24"/>
        </w:rPr>
      </w:pPr>
    </w:p>
    <w:p w14:paraId="09D7A1EF" w14:textId="77777777" w:rsidR="00E03C56" w:rsidRDefault="00DA7A13" w:rsidP="004059B5">
      <w:pPr>
        <w:spacing w:after="0" w:line="240" w:lineRule="auto"/>
        <w:rPr>
          <w:rFonts w:ascii="Times New Roman" w:hAnsi="Times New Roman" w:cs="Times New Roman"/>
          <w:b/>
          <w:color w:val="000000" w:themeColor="text1"/>
          <w:sz w:val="24"/>
          <w:szCs w:val="24"/>
        </w:rPr>
      </w:pPr>
      <w:r w:rsidRPr="00E03C56">
        <w:rPr>
          <w:rFonts w:ascii="Times New Roman" w:hAnsi="Times New Roman" w:cs="Times New Roman"/>
          <w:b/>
          <w:color w:val="000000" w:themeColor="text1"/>
          <w:sz w:val="24"/>
          <w:szCs w:val="24"/>
        </w:rPr>
        <w:t xml:space="preserve">Indiana Department of Labor </w:t>
      </w:r>
      <w:r>
        <w:rPr>
          <w:rFonts w:ascii="Times New Roman" w:hAnsi="Times New Roman" w:cs="Times New Roman"/>
          <w:b/>
          <w:color w:val="000000" w:themeColor="text1"/>
          <w:sz w:val="24"/>
          <w:szCs w:val="24"/>
        </w:rPr>
        <w:t xml:space="preserve">Agriculture Worker Safety &amp; Health Webinar </w:t>
      </w:r>
    </w:p>
    <w:p w14:paraId="306BFA8F" w14:textId="77777777" w:rsidR="00E03C56" w:rsidRPr="00E03C56" w:rsidRDefault="00DA7A13" w:rsidP="004059B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Indiana Department of Labor works to collaborate with industry stakeholders on educating employees about work-related safety and health.  Please </w:t>
      </w:r>
      <w:hyperlink r:id="rId13" w:history="1">
        <w:r w:rsidRPr="00E03C56">
          <w:rPr>
            <w:rStyle w:val="Hyperlink"/>
            <w:rFonts w:ascii="Times New Roman" w:hAnsi="Times New Roman" w:cs="Times New Roman"/>
            <w:sz w:val="24"/>
            <w:szCs w:val="24"/>
          </w:rPr>
          <w:t>click here</w:t>
        </w:r>
      </w:hyperlink>
      <w:r>
        <w:rPr>
          <w:rFonts w:ascii="Times New Roman" w:hAnsi="Times New Roman" w:cs="Times New Roman"/>
          <w:color w:val="000000" w:themeColor="text1"/>
          <w:sz w:val="24"/>
          <w:szCs w:val="24"/>
        </w:rPr>
        <w:t xml:space="preserve"> to review the webinar and presentation and use it as a resource in your workplace.  </w:t>
      </w:r>
    </w:p>
    <w:p w14:paraId="39780449" w14:textId="77777777" w:rsidR="00E03C56" w:rsidRPr="00E03C56" w:rsidRDefault="0014209E" w:rsidP="004059B5">
      <w:pPr>
        <w:spacing w:after="0" w:line="240" w:lineRule="auto"/>
        <w:rPr>
          <w:rStyle w:val="Strong"/>
          <w:rFonts w:ascii="Times New Roman" w:hAnsi="Times New Roman" w:cs="Times New Roman"/>
          <w:color w:val="000000" w:themeColor="text1"/>
          <w:sz w:val="24"/>
          <w:szCs w:val="24"/>
        </w:rPr>
      </w:pPr>
    </w:p>
    <w:sectPr w:rsidR="00E03C56" w:rsidRPr="00E03C56" w:rsidSect="00242CB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altName w:val="Times New Roman"/>
    <w:charset w:val="00"/>
    <w:family w:val="auto"/>
    <w:pitch w:val="default"/>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0CD4"/>
    <w:multiLevelType w:val="multilevel"/>
    <w:tmpl w:val="BFA80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8BD1688"/>
    <w:multiLevelType w:val="multilevel"/>
    <w:tmpl w:val="0D16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26C13"/>
    <w:multiLevelType w:val="multilevel"/>
    <w:tmpl w:val="DFA0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68E02F6"/>
    <w:multiLevelType w:val="multilevel"/>
    <w:tmpl w:val="A9BC1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8C32216"/>
    <w:multiLevelType w:val="hybridMultilevel"/>
    <w:tmpl w:val="79BEF128"/>
    <w:lvl w:ilvl="0" w:tplc="07B2A2AA">
      <w:start w:val="1"/>
      <w:numFmt w:val="decimal"/>
      <w:lvlText w:val="%1."/>
      <w:lvlJc w:val="left"/>
      <w:pPr>
        <w:ind w:left="1080" w:hanging="360"/>
      </w:pPr>
    </w:lvl>
    <w:lvl w:ilvl="1" w:tplc="C840DE72">
      <w:start w:val="1"/>
      <w:numFmt w:val="lowerLetter"/>
      <w:lvlText w:val="%2."/>
      <w:lvlJc w:val="left"/>
      <w:pPr>
        <w:ind w:left="1800" w:hanging="360"/>
      </w:pPr>
    </w:lvl>
    <w:lvl w:ilvl="2" w:tplc="60C25A2A">
      <w:start w:val="1"/>
      <w:numFmt w:val="lowerRoman"/>
      <w:lvlText w:val="%3."/>
      <w:lvlJc w:val="right"/>
      <w:pPr>
        <w:ind w:left="2520" w:hanging="180"/>
      </w:pPr>
    </w:lvl>
    <w:lvl w:ilvl="3" w:tplc="70C225CA">
      <w:start w:val="1"/>
      <w:numFmt w:val="decimal"/>
      <w:lvlText w:val="%4."/>
      <w:lvlJc w:val="left"/>
      <w:pPr>
        <w:ind w:left="3240" w:hanging="360"/>
      </w:pPr>
    </w:lvl>
    <w:lvl w:ilvl="4" w:tplc="2F80B2B2">
      <w:start w:val="1"/>
      <w:numFmt w:val="lowerLetter"/>
      <w:lvlText w:val="%5."/>
      <w:lvlJc w:val="left"/>
      <w:pPr>
        <w:ind w:left="3960" w:hanging="360"/>
      </w:pPr>
    </w:lvl>
    <w:lvl w:ilvl="5" w:tplc="F21251A0">
      <w:start w:val="1"/>
      <w:numFmt w:val="lowerRoman"/>
      <w:lvlText w:val="%6."/>
      <w:lvlJc w:val="right"/>
      <w:pPr>
        <w:ind w:left="4680" w:hanging="180"/>
      </w:pPr>
    </w:lvl>
    <w:lvl w:ilvl="6" w:tplc="F57089F0">
      <w:start w:val="1"/>
      <w:numFmt w:val="decimal"/>
      <w:lvlText w:val="%7."/>
      <w:lvlJc w:val="left"/>
      <w:pPr>
        <w:ind w:left="5400" w:hanging="360"/>
      </w:pPr>
    </w:lvl>
    <w:lvl w:ilvl="7" w:tplc="5566BECC">
      <w:start w:val="1"/>
      <w:numFmt w:val="lowerLetter"/>
      <w:lvlText w:val="%8."/>
      <w:lvlJc w:val="left"/>
      <w:pPr>
        <w:ind w:left="6120" w:hanging="360"/>
      </w:pPr>
    </w:lvl>
    <w:lvl w:ilvl="8" w:tplc="1B7CB090">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58"/>
    <w:rsid w:val="0014209E"/>
    <w:rsid w:val="003A36E4"/>
    <w:rsid w:val="003C7558"/>
    <w:rsid w:val="007E035D"/>
    <w:rsid w:val="00886471"/>
    <w:rsid w:val="00DA7A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2A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B7AB2"/>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BC"/>
    <w:rPr>
      <w:rFonts w:ascii="Tahoma" w:hAnsi="Tahoma" w:cs="Tahoma"/>
      <w:sz w:val="16"/>
      <w:szCs w:val="16"/>
    </w:rPr>
  </w:style>
  <w:style w:type="character" w:styleId="Hyperlink">
    <w:name w:val="Hyperlink"/>
    <w:basedOn w:val="DefaultParagraphFont"/>
    <w:uiPriority w:val="99"/>
    <w:unhideWhenUsed/>
    <w:rsid w:val="00242CBC"/>
    <w:rPr>
      <w:color w:val="0000FF"/>
      <w:u w:val="single"/>
    </w:rPr>
  </w:style>
  <w:style w:type="character" w:styleId="Strong">
    <w:name w:val="Strong"/>
    <w:basedOn w:val="DefaultParagraphFont"/>
    <w:uiPriority w:val="22"/>
    <w:qFormat/>
    <w:rsid w:val="00242CBC"/>
    <w:rPr>
      <w:b/>
      <w:bCs/>
    </w:rPr>
  </w:style>
  <w:style w:type="paragraph" w:customStyle="1" w:styleId="BlockSS">
    <w:name w:val="Block SS"/>
    <w:basedOn w:val="Normal"/>
    <w:qFormat/>
    <w:rsid w:val="00242CBC"/>
    <w:pPr>
      <w:spacing w:after="240" w:line="240" w:lineRule="auto"/>
      <w:jc w:val="both"/>
    </w:pPr>
    <w:rPr>
      <w:rFonts w:ascii="Times New Roman" w:eastAsia="Calibri" w:hAnsi="Times New Roman" w:cs="Times New Roman"/>
      <w:iCs/>
      <w:sz w:val="24"/>
      <w:szCs w:val="24"/>
    </w:rPr>
  </w:style>
  <w:style w:type="paragraph" w:styleId="ListParagraph">
    <w:name w:val="List Paragraph"/>
    <w:basedOn w:val="Normal"/>
    <w:uiPriority w:val="34"/>
    <w:qFormat/>
    <w:rsid w:val="00A90D14"/>
    <w:pPr>
      <w:spacing w:after="0" w:line="240" w:lineRule="auto"/>
      <w:ind w:left="720"/>
    </w:pPr>
    <w:rPr>
      <w:rFonts w:ascii="Calibri" w:hAnsi="Calibri" w:cs="Times New Roman"/>
    </w:rPr>
  </w:style>
  <w:style w:type="character" w:customStyle="1" w:styleId="article-prime">
    <w:name w:val="article-prime"/>
    <w:basedOn w:val="DefaultParagraphFont"/>
    <w:rsid w:val="004059B5"/>
  </w:style>
  <w:style w:type="paragraph" w:styleId="NormalWeb">
    <w:name w:val="Normal (Web)"/>
    <w:basedOn w:val="Normal"/>
    <w:uiPriority w:val="99"/>
    <w:unhideWhenUsed/>
    <w:rsid w:val="003A3774"/>
    <w:pPr>
      <w:spacing w:before="100" w:beforeAutospacing="1" w:after="100" w:afterAutospacing="1" w:line="348" w:lineRule="auto"/>
    </w:pPr>
    <w:rPr>
      <w:rFonts w:ascii="Roboto" w:hAnsi="Roboto" w:cs="Times New Roman"/>
      <w:color w:val="606060"/>
      <w:sz w:val="21"/>
      <w:szCs w:val="21"/>
    </w:rPr>
  </w:style>
  <w:style w:type="paragraph" w:styleId="Header">
    <w:name w:val="header"/>
    <w:basedOn w:val="Normal"/>
    <w:link w:val="HeaderChar"/>
    <w:uiPriority w:val="99"/>
    <w:unhideWhenUsed/>
    <w:rsid w:val="00D72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1C"/>
  </w:style>
  <w:style w:type="paragraph" w:styleId="Footer">
    <w:name w:val="footer"/>
    <w:basedOn w:val="Normal"/>
    <w:link w:val="FooterChar"/>
    <w:uiPriority w:val="99"/>
    <w:unhideWhenUsed/>
    <w:rsid w:val="00D72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1C"/>
  </w:style>
  <w:style w:type="character" w:customStyle="1" w:styleId="Heading1Char">
    <w:name w:val="Heading 1 Char"/>
    <w:basedOn w:val="DefaultParagraphFont"/>
    <w:link w:val="Heading1"/>
    <w:uiPriority w:val="9"/>
    <w:rsid w:val="001B7AB2"/>
    <w:rPr>
      <w:rFonts w:ascii="Times New Roman" w:hAnsi="Times New Roman" w:cs="Times New Roman"/>
      <w:b/>
      <w:bCs/>
      <w:kern w:val="36"/>
      <w:sz w:val="48"/>
      <w:szCs w:val="48"/>
    </w:rPr>
  </w:style>
  <w:style w:type="paragraph" w:customStyle="1" w:styleId="gdp">
    <w:name w:val="gd_p"/>
    <w:basedOn w:val="Normal"/>
    <w:uiPriority w:val="99"/>
    <w:rsid w:val="001B7AB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A827B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36238"/>
    <w:rPr>
      <w:color w:val="800080" w:themeColor="followedHyperlink"/>
      <w:u w:val="single"/>
    </w:rPr>
  </w:style>
  <w:style w:type="paragraph" w:customStyle="1" w:styleId="format-body">
    <w:name w:val="format-body"/>
    <w:basedOn w:val="Normal"/>
    <w:rsid w:val="00AA0E10"/>
    <w:pPr>
      <w:spacing w:after="315" w:line="315" w:lineRule="atLeast"/>
    </w:pPr>
    <w:rPr>
      <w:rFonts w:ascii="Verdana" w:eastAsia="Times New Roman" w:hAnsi="Verdana" w:cs="Times New Roman"/>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rotect-us.mimecast.com/s/DzqGBYCw3YXJiW?domain=weblaunch.blifax.com" TargetMode="External"/><Relationship Id="rId12" Type="http://schemas.openxmlformats.org/officeDocument/2006/relationships/hyperlink" Target="https://protect-us.mimecast.com/s/8J31BocLbG9WFa?domain=weblaunch.blifax.com" TargetMode="External"/><Relationship Id="rId13" Type="http://schemas.openxmlformats.org/officeDocument/2006/relationships/hyperlink" Target="http://www.icemiller.com/agriculture-worker-safety-and-health/"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oisc.purdue.edu/pesticide/iprb.html" TargetMode="External"/><Relationship Id="rId8" Type="http://schemas.openxmlformats.org/officeDocument/2006/relationships/hyperlink" Target="https://www.surveymonkey.com/r/QPBK2T9" TargetMode="External"/><Relationship Id="rId9" Type="http://schemas.openxmlformats.org/officeDocument/2006/relationships/hyperlink" Target="https://protect-us.mimecast.com/s/7GAvBgSKa88RcL?domain=r20.rs6.net" TargetMode="External"/><Relationship Id="rId10" Type="http://schemas.openxmlformats.org/officeDocument/2006/relationships/hyperlink" Target="https://protect-us.mimecast.com/s/EJ4lBrc23vvWin?domain=r20.rs6.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C82E8A-752A-7545-AA6A-D587ECDB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5119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Marcella McElwain</cp:lastModifiedBy>
  <cp:revision>2</cp:revision>
  <dcterms:created xsi:type="dcterms:W3CDTF">2017-08-21T18:17:00Z</dcterms:created>
  <dcterms:modified xsi:type="dcterms:W3CDTF">2017-08-21T18:17:00Z</dcterms:modified>
</cp:coreProperties>
</file>