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94E" w:rsidRPr="00EC42DF" w:rsidRDefault="00BD494E" w:rsidP="00BD494E">
      <w:pPr>
        <w:spacing w:line="240" w:lineRule="auto"/>
        <w:jc w:val="center"/>
        <w:rPr>
          <w:b/>
          <w:sz w:val="40"/>
          <w:szCs w:val="40"/>
        </w:rPr>
      </w:pPr>
      <w:r w:rsidRPr="00EC42DF">
        <w:rPr>
          <w:b/>
          <w:sz w:val="40"/>
          <w:szCs w:val="40"/>
        </w:rPr>
        <w:t>201</w:t>
      </w:r>
      <w:r>
        <w:rPr>
          <w:b/>
          <w:sz w:val="40"/>
          <w:szCs w:val="40"/>
        </w:rPr>
        <w:t>8</w:t>
      </w:r>
      <w:r w:rsidRPr="00EC42DF">
        <w:rPr>
          <w:b/>
          <w:sz w:val="40"/>
          <w:szCs w:val="40"/>
        </w:rPr>
        <w:t xml:space="preserve"> KHCA </w:t>
      </w:r>
      <w:r>
        <w:rPr>
          <w:b/>
          <w:sz w:val="40"/>
          <w:szCs w:val="40"/>
        </w:rPr>
        <w:t xml:space="preserve">Annual </w:t>
      </w:r>
      <w:r w:rsidRPr="00EC42DF">
        <w:rPr>
          <w:b/>
          <w:sz w:val="40"/>
          <w:szCs w:val="40"/>
        </w:rPr>
        <w:t>Conference</w:t>
      </w:r>
    </w:p>
    <w:p w:rsidR="00BD70B1" w:rsidRPr="00BD494E" w:rsidRDefault="00BD70B1" w:rsidP="00BD70B1">
      <w:pPr>
        <w:spacing w:line="240" w:lineRule="auto"/>
        <w:contextualSpacing/>
        <w:jc w:val="center"/>
        <w:rPr>
          <w:b/>
          <w:color w:val="FF0000"/>
          <w:sz w:val="40"/>
          <w:szCs w:val="40"/>
        </w:rPr>
      </w:pPr>
      <w:r w:rsidRPr="00BD494E">
        <w:rPr>
          <w:b/>
          <w:color w:val="FF0000"/>
          <w:sz w:val="40"/>
          <w:szCs w:val="40"/>
        </w:rPr>
        <w:t>Palmetto GBA Jurisdiction M</w:t>
      </w:r>
    </w:p>
    <w:p w:rsidR="00BD70B1" w:rsidRDefault="00BD70B1" w:rsidP="00BD70B1">
      <w:pPr>
        <w:spacing w:line="240" w:lineRule="auto"/>
        <w:contextualSpacing/>
        <w:jc w:val="center"/>
        <w:rPr>
          <w:b/>
          <w:color w:val="FF0000"/>
          <w:sz w:val="40"/>
          <w:szCs w:val="40"/>
        </w:rPr>
      </w:pPr>
      <w:r w:rsidRPr="00BD494E">
        <w:rPr>
          <w:b/>
          <w:color w:val="FF0000"/>
          <w:sz w:val="40"/>
          <w:szCs w:val="40"/>
        </w:rPr>
        <w:t xml:space="preserve">2018 Medicare </w:t>
      </w:r>
      <w:r>
        <w:rPr>
          <w:b/>
          <w:color w:val="FF0000"/>
          <w:sz w:val="40"/>
          <w:szCs w:val="40"/>
        </w:rPr>
        <w:t>Hospice</w:t>
      </w:r>
      <w:r w:rsidRPr="00BD494E">
        <w:rPr>
          <w:b/>
          <w:color w:val="FF0000"/>
          <w:sz w:val="40"/>
          <w:szCs w:val="40"/>
        </w:rPr>
        <w:t xml:space="preserve"> Workshop Series:</w:t>
      </w:r>
    </w:p>
    <w:p w:rsidR="00BD70B1" w:rsidRPr="00BD494E" w:rsidRDefault="00C003CD" w:rsidP="00BD70B1">
      <w:pPr>
        <w:spacing w:line="240" w:lineRule="auto"/>
        <w:contextualSpacing/>
        <w:jc w:val="center"/>
        <w:rPr>
          <w:b/>
          <w:color w:val="FF0000"/>
          <w:sz w:val="40"/>
          <w:szCs w:val="40"/>
        </w:rPr>
      </w:pPr>
      <w:r>
        <w:rPr>
          <w:b/>
          <w:color w:val="FF0000"/>
          <w:sz w:val="40"/>
          <w:szCs w:val="40"/>
        </w:rPr>
        <w:t>PART 2</w:t>
      </w:r>
      <w:r w:rsidR="00BD70B1">
        <w:rPr>
          <w:b/>
          <w:color w:val="FF0000"/>
          <w:sz w:val="40"/>
          <w:szCs w:val="40"/>
        </w:rPr>
        <w:t xml:space="preserve"> - </w:t>
      </w:r>
      <w:r w:rsidR="00BD70B1" w:rsidRPr="00BD494E">
        <w:rPr>
          <w:b/>
          <w:color w:val="FF0000"/>
          <w:sz w:val="40"/>
          <w:szCs w:val="40"/>
        </w:rPr>
        <w:t>Winning with Medicare</w:t>
      </w:r>
    </w:p>
    <w:p w:rsidR="004F74F8" w:rsidRPr="00D92E91" w:rsidRDefault="004F74F8" w:rsidP="00BD494E">
      <w:pPr>
        <w:spacing w:line="240" w:lineRule="auto"/>
        <w:contextualSpacing/>
        <w:jc w:val="center"/>
        <w:rPr>
          <w:i/>
          <w:color w:val="7F7F7F" w:themeColor="text1" w:themeTint="80"/>
          <w:sz w:val="28"/>
          <w:szCs w:val="28"/>
          <w:u w:val="single"/>
        </w:rPr>
      </w:pPr>
    </w:p>
    <w:p w:rsidR="001F570C" w:rsidRPr="001F570C" w:rsidRDefault="001F570C" w:rsidP="001F570C">
      <w:pPr>
        <w:autoSpaceDE w:val="0"/>
        <w:autoSpaceDN w:val="0"/>
        <w:adjustRightInd w:val="0"/>
        <w:spacing w:after="0" w:line="240" w:lineRule="auto"/>
        <w:rPr>
          <w:rFonts w:ascii="Arial" w:eastAsia="Times New Roman" w:hAnsi="Arial" w:cs="Arial"/>
          <w:color w:val="000000"/>
          <w:sz w:val="24"/>
          <w:szCs w:val="24"/>
        </w:rPr>
      </w:pPr>
      <w:r w:rsidRPr="001F570C">
        <w:rPr>
          <w:rFonts w:ascii="Arial" w:eastAsia="Times New Roman" w:hAnsi="Arial" w:cs="Arial"/>
          <w:color w:val="000000"/>
          <w:sz w:val="24"/>
          <w:szCs w:val="24"/>
        </w:rPr>
        <w:t>Palmetto GBA is pleased to announce our 2018 Hospice Workshop Series, Winning with Medicare. These workshops are designed for hospice providers and their staff to equip them with the tools they need to be successful with Medicare billing, coverage and documentation requirements.</w:t>
      </w:r>
    </w:p>
    <w:p w:rsidR="001F570C" w:rsidRPr="001F570C" w:rsidRDefault="001F570C" w:rsidP="001F570C">
      <w:pPr>
        <w:autoSpaceDE w:val="0"/>
        <w:autoSpaceDN w:val="0"/>
        <w:adjustRightInd w:val="0"/>
        <w:spacing w:after="0" w:line="240" w:lineRule="auto"/>
        <w:rPr>
          <w:rFonts w:ascii="Arial" w:eastAsia="Times New Roman" w:hAnsi="Arial" w:cs="Arial"/>
          <w:color w:val="000000"/>
          <w:sz w:val="24"/>
          <w:szCs w:val="24"/>
        </w:rPr>
      </w:pPr>
    </w:p>
    <w:p w:rsidR="001F570C" w:rsidRPr="001F570C" w:rsidRDefault="001F570C" w:rsidP="001F570C">
      <w:pPr>
        <w:spacing w:after="0" w:line="240" w:lineRule="auto"/>
        <w:rPr>
          <w:rFonts w:ascii="Arial" w:eastAsia="Times New Roman" w:hAnsi="Arial" w:cs="Arial"/>
          <w:sz w:val="24"/>
          <w:szCs w:val="24"/>
        </w:rPr>
      </w:pPr>
      <w:r w:rsidRPr="001F570C">
        <w:rPr>
          <w:rFonts w:ascii="Arial" w:eastAsia="Times New Roman" w:hAnsi="Arial" w:cs="Arial"/>
          <w:sz w:val="24"/>
          <w:szCs w:val="24"/>
        </w:rPr>
        <w:t xml:space="preserve">These workshops will provide insight for hospice agency staff at all levels; however, we suggest that providers who are new to Medicare or have new staff attend online learning courses for beginners offered at </w:t>
      </w:r>
      <w:hyperlink r:id="rId6" w:history="1">
        <w:r w:rsidRPr="001F570C">
          <w:rPr>
            <w:rStyle w:val="Hyperlink"/>
            <w:rFonts w:ascii="Arial" w:eastAsia="Times New Roman" w:hAnsi="Arial" w:cs="Arial"/>
            <w:sz w:val="24"/>
            <w:szCs w:val="24"/>
          </w:rPr>
          <w:t>www.PalmettoGBA.com/hhh</w:t>
        </w:r>
      </w:hyperlink>
      <w:r w:rsidRPr="001F570C">
        <w:rPr>
          <w:rFonts w:ascii="Arial" w:eastAsia="Times New Roman" w:hAnsi="Arial" w:cs="Arial"/>
          <w:sz w:val="24"/>
          <w:szCs w:val="24"/>
        </w:rPr>
        <w:t>.  Basic billing and other online educational resources can be found in the Self-Paced Learning section by selecting the Learning and Education link under the Browse Topics option at the top of the page. During the workshop series, Palmetto GBA will provide information related to the most common errors identified through a variety of data analysis and some hints and tips on the reasons why these errors occur. Palmetto GBA’s ultimate goal is to have educated and astute providers who know how to accurately and skillfully apply the information they learn to their documentation and billing practices!</w:t>
      </w:r>
    </w:p>
    <w:p w:rsidR="00F53CA8" w:rsidRPr="00F53CA8" w:rsidRDefault="00F53CA8" w:rsidP="00F53CA8">
      <w:pPr>
        <w:spacing w:line="240" w:lineRule="auto"/>
        <w:contextualSpacing/>
        <w:rPr>
          <w:i/>
          <w:color w:val="FF0000"/>
          <w:sz w:val="28"/>
          <w:szCs w:val="28"/>
          <w:u w:val="single"/>
        </w:rPr>
      </w:pPr>
    </w:p>
    <w:p w:rsidR="00F53CA8" w:rsidRDefault="00F53CA8" w:rsidP="00F53CA8">
      <w:pPr>
        <w:spacing w:line="240" w:lineRule="auto"/>
        <w:contextualSpacing/>
        <w:rPr>
          <w:rFonts w:cs="Times New Roman"/>
          <w:b/>
          <w:i/>
          <w:sz w:val="32"/>
          <w:szCs w:val="32"/>
          <w:u w:val="single"/>
        </w:rPr>
      </w:pPr>
      <w:r>
        <w:rPr>
          <w:rFonts w:cs="Times New Roman"/>
          <w:b/>
          <w:i/>
          <w:sz w:val="32"/>
          <w:szCs w:val="32"/>
          <w:u w:val="single"/>
        </w:rPr>
        <w:t>OBJECTIVES</w:t>
      </w:r>
    </w:p>
    <w:p w:rsidR="00BD70B1" w:rsidRPr="00BD70B1" w:rsidRDefault="00BD70B1" w:rsidP="00BD70B1">
      <w:pPr>
        <w:pStyle w:val="NoSpacing"/>
        <w:rPr>
          <w:rFonts w:ascii="Arial" w:hAnsi="Arial" w:cs="Arial"/>
          <w:b/>
          <w:sz w:val="20"/>
          <w:szCs w:val="20"/>
        </w:rPr>
      </w:pPr>
      <w:r w:rsidRPr="00BD70B1">
        <w:rPr>
          <w:rFonts w:ascii="Arial" w:hAnsi="Arial" w:cs="Arial"/>
          <w:b/>
          <w:sz w:val="20"/>
          <w:szCs w:val="20"/>
        </w:rPr>
        <w:t>The following topics will be covered during the workshop:</w:t>
      </w:r>
    </w:p>
    <w:p w:rsidR="00C003CD" w:rsidRDefault="00C003CD" w:rsidP="00C003CD">
      <w:pPr>
        <w:pStyle w:val="NoSpacing"/>
        <w:rPr>
          <w:rFonts w:ascii="Arial" w:hAnsi="Arial" w:cs="Arial"/>
          <w:b/>
          <w:sz w:val="20"/>
          <w:szCs w:val="20"/>
        </w:rPr>
      </w:pPr>
    </w:p>
    <w:p w:rsidR="00C003CD" w:rsidRPr="00BD70B1" w:rsidRDefault="00C003CD" w:rsidP="00C003CD">
      <w:pPr>
        <w:pStyle w:val="NoSpacing"/>
        <w:rPr>
          <w:rFonts w:ascii="Arial" w:hAnsi="Arial" w:cs="Arial"/>
          <w:sz w:val="20"/>
          <w:szCs w:val="20"/>
        </w:rPr>
      </w:pPr>
      <w:bookmarkStart w:id="0" w:name="_GoBack"/>
      <w:bookmarkEnd w:id="0"/>
      <w:r w:rsidRPr="00BD70B1">
        <w:rPr>
          <w:rFonts w:ascii="Arial" w:hAnsi="Arial" w:cs="Arial"/>
          <w:b/>
          <w:sz w:val="20"/>
          <w:szCs w:val="20"/>
        </w:rPr>
        <w:t>Part II</w:t>
      </w:r>
      <w:r w:rsidRPr="00BD70B1">
        <w:rPr>
          <w:rFonts w:ascii="Arial" w:hAnsi="Arial" w:cs="Arial"/>
          <w:sz w:val="20"/>
          <w:szCs w:val="20"/>
        </w:rPr>
        <w:t>:</w:t>
      </w:r>
    </w:p>
    <w:p w:rsidR="00C003CD" w:rsidRPr="00BD70B1" w:rsidRDefault="00C003CD" w:rsidP="00C003CD">
      <w:pPr>
        <w:pStyle w:val="NoSpacing"/>
        <w:numPr>
          <w:ilvl w:val="0"/>
          <w:numId w:val="12"/>
        </w:numPr>
        <w:ind w:left="360"/>
        <w:rPr>
          <w:rFonts w:ascii="Arial" w:hAnsi="Arial" w:cs="Arial"/>
          <w:b/>
          <w:sz w:val="20"/>
          <w:szCs w:val="20"/>
        </w:rPr>
      </w:pPr>
      <w:r w:rsidRPr="00BD70B1">
        <w:rPr>
          <w:rFonts w:ascii="Arial" w:hAnsi="Arial" w:cs="Arial"/>
          <w:b/>
          <w:sz w:val="20"/>
          <w:szCs w:val="20"/>
        </w:rPr>
        <w:t>What You Need to Know for 2018</w:t>
      </w:r>
    </w:p>
    <w:p w:rsidR="00C003CD" w:rsidRPr="00BD70B1" w:rsidRDefault="00C003CD" w:rsidP="00C003CD">
      <w:pPr>
        <w:pStyle w:val="NoSpacing"/>
        <w:numPr>
          <w:ilvl w:val="0"/>
          <w:numId w:val="12"/>
        </w:numPr>
        <w:ind w:left="360"/>
        <w:rPr>
          <w:rFonts w:ascii="Arial" w:hAnsi="Arial" w:cs="Arial"/>
          <w:b/>
          <w:sz w:val="20"/>
          <w:szCs w:val="20"/>
        </w:rPr>
      </w:pPr>
      <w:r w:rsidRPr="00BD70B1">
        <w:rPr>
          <w:rFonts w:ascii="Arial" w:hAnsi="Arial" w:cs="Arial"/>
          <w:b/>
          <w:sz w:val="20"/>
          <w:szCs w:val="20"/>
        </w:rPr>
        <w:t>Data Driven Topics</w:t>
      </w:r>
    </w:p>
    <w:p w:rsidR="00C003CD" w:rsidRPr="00BD70B1" w:rsidRDefault="00C003CD" w:rsidP="00C003CD">
      <w:pPr>
        <w:pStyle w:val="NoSpacing"/>
        <w:numPr>
          <w:ilvl w:val="1"/>
          <w:numId w:val="12"/>
        </w:numPr>
        <w:ind w:left="720"/>
        <w:rPr>
          <w:rFonts w:ascii="Arial" w:hAnsi="Arial" w:cs="Arial"/>
          <w:sz w:val="20"/>
          <w:szCs w:val="20"/>
        </w:rPr>
      </w:pPr>
      <w:r w:rsidRPr="00BD70B1">
        <w:rPr>
          <w:rFonts w:ascii="Arial" w:hAnsi="Arial" w:cs="Arial"/>
          <w:sz w:val="20"/>
          <w:szCs w:val="20"/>
        </w:rPr>
        <w:t>Notice of Election (NOE) – Late Submission</w:t>
      </w:r>
    </w:p>
    <w:p w:rsidR="00C003CD" w:rsidRPr="00BD70B1" w:rsidRDefault="00C003CD" w:rsidP="00C003CD">
      <w:pPr>
        <w:pStyle w:val="NoSpacing"/>
        <w:numPr>
          <w:ilvl w:val="1"/>
          <w:numId w:val="12"/>
        </w:numPr>
        <w:ind w:left="720"/>
        <w:rPr>
          <w:rFonts w:ascii="Arial" w:hAnsi="Arial" w:cs="Arial"/>
          <w:sz w:val="20"/>
          <w:szCs w:val="20"/>
        </w:rPr>
      </w:pPr>
      <w:r w:rsidRPr="00BD70B1">
        <w:rPr>
          <w:rFonts w:ascii="Arial" w:hAnsi="Arial" w:cs="Arial"/>
          <w:sz w:val="20"/>
          <w:szCs w:val="20"/>
        </w:rPr>
        <w:t>Comparative Billing Report (CBR)</w:t>
      </w:r>
    </w:p>
    <w:p w:rsidR="00C003CD" w:rsidRPr="00BD70B1" w:rsidRDefault="00C003CD" w:rsidP="00C003CD">
      <w:pPr>
        <w:pStyle w:val="NoSpacing"/>
        <w:numPr>
          <w:ilvl w:val="0"/>
          <w:numId w:val="12"/>
        </w:numPr>
        <w:ind w:left="360"/>
        <w:rPr>
          <w:rFonts w:ascii="Arial" w:hAnsi="Arial" w:cs="Arial"/>
          <w:b/>
          <w:sz w:val="20"/>
          <w:szCs w:val="20"/>
        </w:rPr>
      </w:pPr>
      <w:proofErr w:type="spellStart"/>
      <w:r w:rsidRPr="00BD70B1">
        <w:rPr>
          <w:rFonts w:ascii="Arial" w:hAnsi="Arial" w:cs="Arial"/>
          <w:b/>
          <w:sz w:val="20"/>
          <w:szCs w:val="20"/>
        </w:rPr>
        <w:t>eServices</w:t>
      </w:r>
      <w:proofErr w:type="spellEnd"/>
      <w:r w:rsidRPr="00BD70B1">
        <w:rPr>
          <w:rFonts w:ascii="Arial" w:hAnsi="Arial" w:cs="Arial"/>
          <w:b/>
          <w:sz w:val="20"/>
          <w:szCs w:val="20"/>
        </w:rPr>
        <w:t xml:space="preserve"> Online Portal</w:t>
      </w:r>
    </w:p>
    <w:p w:rsidR="00C003CD" w:rsidRPr="00BD70B1" w:rsidRDefault="00C003CD" w:rsidP="00C003CD">
      <w:pPr>
        <w:pStyle w:val="NoSpacing"/>
        <w:numPr>
          <w:ilvl w:val="0"/>
          <w:numId w:val="12"/>
        </w:numPr>
        <w:ind w:left="360"/>
        <w:rPr>
          <w:rFonts w:ascii="Arial" w:hAnsi="Arial" w:cs="Arial"/>
          <w:b/>
          <w:sz w:val="20"/>
          <w:szCs w:val="20"/>
        </w:rPr>
      </w:pPr>
      <w:r w:rsidRPr="00BD70B1">
        <w:rPr>
          <w:rFonts w:ascii="Arial" w:hAnsi="Arial" w:cs="Arial"/>
          <w:b/>
          <w:sz w:val="20"/>
          <w:szCs w:val="20"/>
        </w:rPr>
        <w:t>Reminders</w:t>
      </w:r>
    </w:p>
    <w:p w:rsidR="00C003CD" w:rsidRPr="00BD70B1" w:rsidRDefault="00C003CD" w:rsidP="00C003CD">
      <w:pPr>
        <w:pStyle w:val="NoSpacing"/>
        <w:numPr>
          <w:ilvl w:val="1"/>
          <w:numId w:val="12"/>
        </w:numPr>
        <w:ind w:left="720"/>
        <w:rPr>
          <w:rFonts w:ascii="Arial" w:hAnsi="Arial" w:cs="Arial"/>
          <w:sz w:val="20"/>
          <w:szCs w:val="20"/>
        </w:rPr>
      </w:pPr>
      <w:r w:rsidRPr="00BD70B1">
        <w:rPr>
          <w:rFonts w:ascii="Arial" w:hAnsi="Arial" w:cs="Arial"/>
          <w:sz w:val="20"/>
          <w:szCs w:val="20"/>
        </w:rPr>
        <w:t>CERT Program</w:t>
      </w:r>
    </w:p>
    <w:p w:rsidR="00C003CD" w:rsidRPr="00BD70B1" w:rsidRDefault="00C003CD" w:rsidP="00C003CD">
      <w:pPr>
        <w:pStyle w:val="NoSpacing"/>
        <w:numPr>
          <w:ilvl w:val="1"/>
          <w:numId w:val="12"/>
        </w:numPr>
        <w:ind w:left="720"/>
        <w:rPr>
          <w:rFonts w:ascii="Arial" w:hAnsi="Arial" w:cs="Arial"/>
          <w:sz w:val="20"/>
          <w:szCs w:val="20"/>
        </w:rPr>
      </w:pPr>
      <w:r w:rsidRPr="00BD70B1">
        <w:rPr>
          <w:rFonts w:ascii="Arial" w:hAnsi="Arial" w:cs="Arial"/>
          <w:sz w:val="20"/>
          <w:szCs w:val="20"/>
        </w:rPr>
        <w:t>Provider Enrollment Revalidation</w:t>
      </w:r>
    </w:p>
    <w:p w:rsidR="00C003CD" w:rsidRPr="00BD70B1" w:rsidRDefault="00C003CD" w:rsidP="00C003CD">
      <w:pPr>
        <w:pStyle w:val="NoSpacing"/>
        <w:numPr>
          <w:ilvl w:val="1"/>
          <w:numId w:val="12"/>
        </w:numPr>
        <w:ind w:left="720"/>
        <w:rPr>
          <w:rFonts w:ascii="Arial" w:hAnsi="Arial" w:cs="Arial"/>
          <w:sz w:val="20"/>
          <w:szCs w:val="20"/>
        </w:rPr>
      </w:pPr>
      <w:r w:rsidRPr="00BD70B1">
        <w:rPr>
          <w:rFonts w:ascii="Arial" w:hAnsi="Arial" w:cs="Arial"/>
          <w:sz w:val="20"/>
          <w:szCs w:val="20"/>
        </w:rPr>
        <w:t>EDI</w:t>
      </w:r>
    </w:p>
    <w:p w:rsidR="00C003CD" w:rsidRPr="00BD70B1" w:rsidRDefault="00C003CD" w:rsidP="00C003CD">
      <w:pPr>
        <w:pStyle w:val="NoSpacing"/>
        <w:numPr>
          <w:ilvl w:val="0"/>
          <w:numId w:val="12"/>
        </w:numPr>
        <w:ind w:left="360"/>
        <w:rPr>
          <w:rFonts w:ascii="Arial" w:hAnsi="Arial" w:cs="Arial"/>
          <w:b/>
          <w:sz w:val="20"/>
          <w:szCs w:val="20"/>
        </w:rPr>
      </w:pPr>
      <w:r w:rsidRPr="00BD70B1">
        <w:rPr>
          <w:rFonts w:ascii="Arial" w:hAnsi="Arial" w:cs="Arial"/>
          <w:b/>
          <w:sz w:val="20"/>
          <w:szCs w:val="20"/>
        </w:rPr>
        <w:t>Provider Resources/Self  Service Tools</w:t>
      </w:r>
    </w:p>
    <w:p w:rsidR="00C003CD" w:rsidRPr="00BD70B1" w:rsidRDefault="00C003CD" w:rsidP="00C003CD">
      <w:pPr>
        <w:pStyle w:val="NoSpacing"/>
        <w:numPr>
          <w:ilvl w:val="1"/>
          <w:numId w:val="12"/>
        </w:numPr>
        <w:ind w:left="720"/>
        <w:rPr>
          <w:rFonts w:ascii="Arial" w:hAnsi="Arial" w:cs="Arial"/>
          <w:sz w:val="20"/>
          <w:szCs w:val="20"/>
        </w:rPr>
      </w:pPr>
      <w:r w:rsidRPr="00BD70B1">
        <w:rPr>
          <w:rFonts w:ascii="Arial" w:hAnsi="Arial" w:cs="Arial"/>
          <w:sz w:val="20"/>
          <w:szCs w:val="20"/>
        </w:rPr>
        <w:t>CMS Resources</w:t>
      </w:r>
    </w:p>
    <w:p w:rsidR="00C003CD" w:rsidRPr="00BD70B1" w:rsidRDefault="00C003CD" w:rsidP="00C003CD">
      <w:pPr>
        <w:pStyle w:val="NoSpacing"/>
        <w:numPr>
          <w:ilvl w:val="1"/>
          <w:numId w:val="12"/>
        </w:numPr>
        <w:ind w:left="720"/>
        <w:rPr>
          <w:rFonts w:ascii="Arial" w:hAnsi="Arial" w:cs="Arial"/>
          <w:sz w:val="20"/>
          <w:szCs w:val="20"/>
        </w:rPr>
      </w:pPr>
      <w:r w:rsidRPr="00BD70B1">
        <w:rPr>
          <w:rFonts w:ascii="Arial" w:hAnsi="Arial" w:cs="Arial"/>
          <w:sz w:val="20"/>
          <w:szCs w:val="20"/>
        </w:rPr>
        <w:t>Top Links</w:t>
      </w:r>
    </w:p>
    <w:p w:rsidR="00C003CD" w:rsidRPr="00BD70B1" w:rsidRDefault="00C003CD" w:rsidP="00C003CD">
      <w:pPr>
        <w:pStyle w:val="NoSpacing"/>
        <w:numPr>
          <w:ilvl w:val="1"/>
          <w:numId w:val="12"/>
        </w:numPr>
        <w:ind w:left="720"/>
        <w:rPr>
          <w:rFonts w:ascii="Arial" w:hAnsi="Arial" w:cs="Arial"/>
          <w:sz w:val="20"/>
          <w:szCs w:val="20"/>
        </w:rPr>
      </w:pPr>
      <w:r w:rsidRPr="00BD70B1">
        <w:rPr>
          <w:rFonts w:ascii="Arial" w:hAnsi="Arial" w:cs="Arial"/>
          <w:sz w:val="20"/>
          <w:szCs w:val="20"/>
        </w:rPr>
        <w:t>Forms/Tools</w:t>
      </w:r>
    </w:p>
    <w:p w:rsidR="00C003CD" w:rsidRPr="00BD70B1" w:rsidRDefault="00C003CD" w:rsidP="00C003CD">
      <w:pPr>
        <w:pStyle w:val="NoSpacing"/>
        <w:numPr>
          <w:ilvl w:val="1"/>
          <w:numId w:val="12"/>
        </w:numPr>
        <w:ind w:left="720"/>
        <w:rPr>
          <w:rFonts w:ascii="Arial" w:hAnsi="Arial" w:cs="Arial"/>
          <w:sz w:val="20"/>
          <w:szCs w:val="20"/>
        </w:rPr>
      </w:pPr>
      <w:r w:rsidRPr="00BD70B1">
        <w:rPr>
          <w:rFonts w:ascii="Arial" w:hAnsi="Arial" w:cs="Arial"/>
          <w:sz w:val="20"/>
          <w:szCs w:val="20"/>
        </w:rPr>
        <w:t>Social Media</w:t>
      </w:r>
    </w:p>
    <w:p w:rsidR="00C003CD" w:rsidRPr="00BD70B1" w:rsidRDefault="00C003CD" w:rsidP="00C003CD">
      <w:pPr>
        <w:pStyle w:val="NoSpacing"/>
        <w:numPr>
          <w:ilvl w:val="1"/>
          <w:numId w:val="12"/>
        </w:numPr>
        <w:ind w:left="720"/>
        <w:rPr>
          <w:rFonts w:ascii="Arial" w:hAnsi="Arial" w:cs="Arial"/>
          <w:sz w:val="20"/>
          <w:szCs w:val="20"/>
        </w:rPr>
      </w:pPr>
      <w:r w:rsidRPr="00BD70B1">
        <w:rPr>
          <w:rFonts w:ascii="Arial" w:hAnsi="Arial" w:cs="Arial"/>
          <w:sz w:val="20"/>
          <w:szCs w:val="20"/>
        </w:rPr>
        <w:t>Education/Events</w:t>
      </w:r>
    </w:p>
    <w:p w:rsidR="00BD70B1" w:rsidRPr="00BD70B1" w:rsidRDefault="00BD70B1" w:rsidP="00BD70B1">
      <w:pPr>
        <w:pStyle w:val="NoSpacing"/>
        <w:rPr>
          <w:rFonts w:ascii="Arial" w:hAnsi="Arial" w:cs="Arial"/>
          <w:sz w:val="20"/>
          <w:szCs w:val="20"/>
        </w:rPr>
      </w:pPr>
    </w:p>
    <w:sectPr w:rsidR="00BD70B1" w:rsidRPr="00BD70B1" w:rsidSect="00874C61">
      <w:pgSz w:w="12240" w:h="15840"/>
      <w:pgMar w:top="63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B3F76"/>
    <w:multiLevelType w:val="hybridMultilevel"/>
    <w:tmpl w:val="6D40A244"/>
    <w:lvl w:ilvl="0" w:tplc="25B2679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9CC0A7F"/>
    <w:multiLevelType w:val="hybridMultilevel"/>
    <w:tmpl w:val="BC9885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6F5AD5"/>
    <w:multiLevelType w:val="hybridMultilevel"/>
    <w:tmpl w:val="65443DF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AC5298C"/>
    <w:multiLevelType w:val="hybridMultilevel"/>
    <w:tmpl w:val="548E1F8C"/>
    <w:lvl w:ilvl="0" w:tplc="1C58E238">
      <w:start w:val="1"/>
      <w:numFmt w:val="lowerLetter"/>
      <w:lvlText w:val="%1."/>
      <w:lvlJc w:val="left"/>
      <w:pPr>
        <w:ind w:left="720" w:hanging="360"/>
      </w:pPr>
      <w:rPr>
        <w:rFonts w:hint="default"/>
        <w:b w:val="0"/>
        <w:i w:val="0"/>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D66E00"/>
    <w:multiLevelType w:val="hybridMultilevel"/>
    <w:tmpl w:val="7CF68B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2384FB4"/>
    <w:multiLevelType w:val="hybridMultilevel"/>
    <w:tmpl w:val="63AC3794"/>
    <w:lvl w:ilvl="0" w:tplc="1C58E238">
      <w:start w:val="1"/>
      <w:numFmt w:val="lowerLetter"/>
      <w:lvlText w:val="%1."/>
      <w:lvlJc w:val="left"/>
      <w:pPr>
        <w:ind w:left="425" w:hanging="360"/>
      </w:pPr>
      <w:rPr>
        <w:rFonts w:hint="default"/>
        <w:b w:val="0"/>
        <w:i w:val="0"/>
        <w:sz w:val="20"/>
      </w:rPr>
    </w:lvl>
    <w:lvl w:ilvl="1" w:tplc="04090019" w:tentative="1">
      <w:start w:val="1"/>
      <w:numFmt w:val="lowerLetter"/>
      <w:lvlText w:val="%2."/>
      <w:lvlJc w:val="left"/>
      <w:pPr>
        <w:ind w:left="1145" w:hanging="360"/>
      </w:pPr>
    </w:lvl>
    <w:lvl w:ilvl="2" w:tplc="0409001B" w:tentative="1">
      <w:start w:val="1"/>
      <w:numFmt w:val="lowerRoman"/>
      <w:lvlText w:val="%3."/>
      <w:lvlJc w:val="right"/>
      <w:pPr>
        <w:ind w:left="1865" w:hanging="180"/>
      </w:pPr>
    </w:lvl>
    <w:lvl w:ilvl="3" w:tplc="0409000F" w:tentative="1">
      <w:start w:val="1"/>
      <w:numFmt w:val="decimal"/>
      <w:lvlText w:val="%4."/>
      <w:lvlJc w:val="left"/>
      <w:pPr>
        <w:ind w:left="2585" w:hanging="360"/>
      </w:pPr>
    </w:lvl>
    <w:lvl w:ilvl="4" w:tplc="04090019" w:tentative="1">
      <w:start w:val="1"/>
      <w:numFmt w:val="lowerLetter"/>
      <w:lvlText w:val="%5."/>
      <w:lvlJc w:val="left"/>
      <w:pPr>
        <w:ind w:left="3305" w:hanging="360"/>
      </w:pPr>
    </w:lvl>
    <w:lvl w:ilvl="5" w:tplc="0409001B" w:tentative="1">
      <w:start w:val="1"/>
      <w:numFmt w:val="lowerRoman"/>
      <w:lvlText w:val="%6."/>
      <w:lvlJc w:val="right"/>
      <w:pPr>
        <w:ind w:left="4025" w:hanging="180"/>
      </w:pPr>
    </w:lvl>
    <w:lvl w:ilvl="6" w:tplc="0409000F" w:tentative="1">
      <w:start w:val="1"/>
      <w:numFmt w:val="decimal"/>
      <w:lvlText w:val="%7."/>
      <w:lvlJc w:val="left"/>
      <w:pPr>
        <w:ind w:left="4745" w:hanging="360"/>
      </w:pPr>
    </w:lvl>
    <w:lvl w:ilvl="7" w:tplc="04090019" w:tentative="1">
      <w:start w:val="1"/>
      <w:numFmt w:val="lowerLetter"/>
      <w:lvlText w:val="%8."/>
      <w:lvlJc w:val="left"/>
      <w:pPr>
        <w:ind w:left="5465" w:hanging="360"/>
      </w:pPr>
    </w:lvl>
    <w:lvl w:ilvl="8" w:tplc="0409001B" w:tentative="1">
      <w:start w:val="1"/>
      <w:numFmt w:val="lowerRoman"/>
      <w:lvlText w:val="%9."/>
      <w:lvlJc w:val="right"/>
      <w:pPr>
        <w:ind w:left="6185" w:hanging="180"/>
      </w:pPr>
    </w:lvl>
  </w:abstractNum>
  <w:abstractNum w:abstractNumId="6">
    <w:nsid w:val="3BF319A7"/>
    <w:multiLevelType w:val="hybridMultilevel"/>
    <w:tmpl w:val="506EDD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6E67831"/>
    <w:multiLevelType w:val="hybridMultilevel"/>
    <w:tmpl w:val="7C182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AD61A3B"/>
    <w:multiLevelType w:val="hybridMultilevel"/>
    <w:tmpl w:val="02C467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FAF7AE5"/>
    <w:multiLevelType w:val="hybridMultilevel"/>
    <w:tmpl w:val="DA080D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4FE73E5"/>
    <w:multiLevelType w:val="hybridMultilevel"/>
    <w:tmpl w:val="BEBCD0B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7374AA9"/>
    <w:multiLevelType w:val="hybridMultilevel"/>
    <w:tmpl w:val="A1A6D770"/>
    <w:lvl w:ilvl="0" w:tplc="7146EAEC">
      <w:start w:val="1"/>
      <w:numFmt w:val="decimal"/>
      <w:pStyle w:val="Index1"/>
      <w:lvlText w:val="%1."/>
      <w:lvlJc w:val="left"/>
      <w:pPr>
        <w:ind w:left="1080" w:hanging="360"/>
      </w:pPr>
      <w:rPr>
        <w:rFonts w:hint="default"/>
        <w:b w:val="0"/>
        <w:i w:val="0"/>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E8339FA"/>
    <w:multiLevelType w:val="hybridMultilevel"/>
    <w:tmpl w:val="136C6600"/>
    <w:lvl w:ilvl="0" w:tplc="1C58E238">
      <w:start w:val="1"/>
      <w:numFmt w:val="lowerLetter"/>
      <w:lvlText w:val="%1."/>
      <w:lvlJc w:val="left"/>
      <w:pPr>
        <w:ind w:left="720" w:hanging="360"/>
      </w:pPr>
      <w:rPr>
        <w:rFonts w:hint="default"/>
        <w:b w:val="0"/>
        <w:i w:val="0"/>
        <w:sz w:val="20"/>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
  </w:num>
  <w:num w:numId="3">
    <w:abstractNumId w:val="12"/>
  </w:num>
  <w:num w:numId="4">
    <w:abstractNumId w:val="5"/>
  </w:num>
  <w:num w:numId="5">
    <w:abstractNumId w:val="11"/>
  </w:num>
  <w:num w:numId="6">
    <w:abstractNumId w:val="10"/>
  </w:num>
  <w:num w:numId="7">
    <w:abstractNumId w:val="8"/>
  </w:num>
  <w:num w:numId="8">
    <w:abstractNumId w:val="4"/>
  </w:num>
  <w:num w:numId="9">
    <w:abstractNumId w:val="1"/>
  </w:num>
  <w:num w:numId="10">
    <w:abstractNumId w:val="7"/>
  </w:num>
  <w:num w:numId="11">
    <w:abstractNumId w:val="6"/>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94E"/>
    <w:rsid w:val="00002823"/>
    <w:rsid w:val="001F570C"/>
    <w:rsid w:val="004C1626"/>
    <w:rsid w:val="004D44C9"/>
    <w:rsid w:val="004F74F8"/>
    <w:rsid w:val="00502EF0"/>
    <w:rsid w:val="00552DA5"/>
    <w:rsid w:val="00827EB7"/>
    <w:rsid w:val="00874C61"/>
    <w:rsid w:val="00BD494E"/>
    <w:rsid w:val="00BD70B1"/>
    <w:rsid w:val="00C003CD"/>
    <w:rsid w:val="00CE4471"/>
    <w:rsid w:val="00D92E91"/>
    <w:rsid w:val="00F53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9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494E"/>
    <w:pPr>
      <w:ind w:left="720"/>
      <w:contextualSpacing/>
    </w:pPr>
  </w:style>
  <w:style w:type="paragraph" w:styleId="Index1">
    <w:name w:val="index 1"/>
    <w:basedOn w:val="Normal"/>
    <w:next w:val="Normal"/>
    <w:autoRedefine/>
    <w:semiHidden/>
    <w:rsid w:val="00BD494E"/>
    <w:pPr>
      <w:numPr>
        <w:numId w:val="5"/>
      </w:numPr>
      <w:spacing w:after="0" w:line="240" w:lineRule="auto"/>
      <w:ind w:left="432"/>
    </w:pPr>
    <w:rPr>
      <w:rFonts w:ascii="Arial" w:eastAsia="Times New Roman" w:hAnsi="Arial" w:cs="Arial"/>
      <w:sz w:val="24"/>
      <w:szCs w:val="24"/>
    </w:rPr>
  </w:style>
  <w:style w:type="character" w:styleId="Hyperlink">
    <w:name w:val="Hyperlink"/>
    <w:basedOn w:val="DefaultParagraphFont"/>
    <w:uiPriority w:val="99"/>
    <w:semiHidden/>
    <w:unhideWhenUsed/>
    <w:rsid w:val="001F570C"/>
    <w:rPr>
      <w:color w:val="0000FF" w:themeColor="hyperlink"/>
      <w:u w:val="single"/>
    </w:rPr>
  </w:style>
  <w:style w:type="paragraph" w:styleId="NoSpacing">
    <w:name w:val="No Spacing"/>
    <w:uiPriority w:val="1"/>
    <w:qFormat/>
    <w:rsid w:val="00BD70B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9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494E"/>
    <w:pPr>
      <w:ind w:left="720"/>
      <w:contextualSpacing/>
    </w:pPr>
  </w:style>
  <w:style w:type="paragraph" w:styleId="Index1">
    <w:name w:val="index 1"/>
    <w:basedOn w:val="Normal"/>
    <w:next w:val="Normal"/>
    <w:autoRedefine/>
    <w:semiHidden/>
    <w:rsid w:val="00BD494E"/>
    <w:pPr>
      <w:numPr>
        <w:numId w:val="5"/>
      </w:numPr>
      <w:spacing w:after="0" w:line="240" w:lineRule="auto"/>
      <w:ind w:left="432"/>
    </w:pPr>
    <w:rPr>
      <w:rFonts w:ascii="Arial" w:eastAsia="Times New Roman" w:hAnsi="Arial" w:cs="Arial"/>
      <w:sz w:val="24"/>
      <w:szCs w:val="24"/>
    </w:rPr>
  </w:style>
  <w:style w:type="character" w:styleId="Hyperlink">
    <w:name w:val="Hyperlink"/>
    <w:basedOn w:val="DefaultParagraphFont"/>
    <w:uiPriority w:val="99"/>
    <w:semiHidden/>
    <w:unhideWhenUsed/>
    <w:rsid w:val="001F570C"/>
    <w:rPr>
      <w:color w:val="0000FF" w:themeColor="hyperlink"/>
      <w:u w:val="single"/>
    </w:rPr>
  </w:style>
  <w:style w:type="paragraph" w:styleId="NoSpacing">
    <w:name w:val="No Spacing"/>
    <w:uiPriority w:val="1"/>
    <w:qFormat/>
    <w:rsid w:val="00BD70B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0642987">
      <w:bodyDiv w:val="1"/>
      <w:marLeft w:val="0"/>
      <w:marRight w:val="0"/>
      <w:marTop w:val="0"/>
      <w:marBottom w:val="0"/>
      <w:divBdr>
        <w:top w:val="none" w:sz="0" w:space="0" w:color="auto"/>
        <w:left w:val="none" w:sz="0" w:space="0" w:color="auto"/>
        <w:bottom w:val="none" w:sz="0" w:space="0" w:color="auto"/>
        <w:right w:val="none" w:sz="0" w:space="0" w:color="auto"/>
      </w:divBdr>
    </w:div>
    <w:div w:id="1726639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lmettoGBA.com/hhh"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 Gervais</dc:creator>
  <cp:lastModifiedBy>Annette Gervais</cp:lastModifiedBy>
  <cp:revision>2</cp:revision>
  <dcterms:created xsi:type="dcterms:W3CDTF">2018-03-09T18:08:00Z</dcterms:created>
  <dcterms:modified xsi:type="dcterms:W3CDTF">2018-03-09T18:08:00Z</dcterms:modified>
</cp:coreProperties>
</file>