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3D" w:rsidRPr="007C0EC0" w:rsidRDefault="007C0EC0" w:rsidP="0003349D">
      <w:pPr>
        <w:ind w:left="3600" w:firstLine="720"/>
        <w:rPr>
          <w:rFonts w:ascii="Arial" w:hAnsi="Arial" w:cs="Arial"/>
        </w:rPr>
      </w:pPr>
      <w:r w:rsidRPr="007C0EC0">
        <w:rPr>
          <w:rFonts w:ascii="Arial" w:hAnsi="Arial" w:cs="Arial"/>
        </w:rPr>
        <w:t xml:space="preserve">August </w:t>
      </w:r>
      <w:r w:rsidR="00E921D6">
        <w:rPr>
          <w:rFonts w:ascii="Arial" w:hAnsi="Arial" w:cs="Arial"/>
        </w:rPr>
        <w:t>13</w:t>
      </w:r>
      <w:r w:rsidRPr="007C0EC0">
        <w:rPr>
          <w:rFonts w:ascii="Arial" w:hAnsi="Arial" w:cs="Arial"/>
        </w:rPr>
        <w:t>, 2018</w:t>
      </w:r>
    </w:p>
    <w:p w:rsidR="007C0EC0" w:rsidRPr="007C0EC0" w:rsidRDefault="007C0EC0" w:rsidP="007C0EC0">
      <w:pPr>
        <w:rPr>
          <w:rFonts w:ascii="Arial" w:hAnsi="Arial" w:cs="Arial"/>
        </w:rPr>
      </w:pPr>
    </w:p>
    <w:p w:rsidR="007C0EC0" w:rsidRPr="007C0EC0" w:rsidRDefault="007C0EC0" w:rsidP="007C0EC0">
      <w:pPr>
        <w:rPr>
          <w:rFonts w:ascii="Arial" w:hAnsi="Arial" w:cs="Arial"/>
        </w:rPr>
      </w:pPr>
      <w:r w:rsidRPr="007C0EC0">
        <w:rPr>
          <w:rFonts w:ascii="Arial" w:hAnsi="Arial" w:cs="Arial"/>
        </w:rPr>
        <w:t xml:space="preserve">Submitted via </w:t>
      </w:r>
      <w:hyperlink r:id="rId8" w:history="1">
        <w:r w:rsidRPr="007C0EC0">
          <w:rPr>
            <w:rStyle w:val="Hyperlink"/>
            <w:rFonts w:ascii="Arial" w:hAnsi="Arial" w:cs="Arial"/>
          </w:rPr>
          <w:t>www.regulations.gov</w:t>
        </w:r>
      </w:hyperlink>
    </w:p>
    <w:p w:rsidR="007C0EC0" w:rsidRPr="007C0EC0" w:rsidRDefault="007C0EC0" w:rsidP="007C0EC0">
      <w:pPr>
        <w:rPr>
          <w:rFonts w:ascii="Arial" w:hAnsi="Arial" w:cs="Arial"/>
        </w:rPr>
      </w:pPr>
    </w:p>
    <w:p w:rsidR="007C0EC0" w:rsidRPr="007C0EC0" w:rsidRDefault="007C0EC0" w:rsidP="007C0EC0">
      <w:pPr>
        <w:rPr>
          <w:rFonts w:ascii="Arial" w:hAnsi="Arial" w:cs="Arial"/>
        </w:rPr>
      </w:pPr>
      <w:r w:rsidRPr="007C0EC0">
        <w:rPr>
          <w:rFonts w:ascii="Arial" w:hAnsi="Arial" w:cs="Arial"/>
        </w:rPr>
        <w:t>U.S. Environmental Protection Agency</w:t>
      </w:r>
      <w:r w:rsidR="00E921D6">
        <w:rPr>
          <w:rFonts w:ascii="Arial" w:hAnsi="Arial" w:cs="Arial"/>
        </w:rPr>
        <w:tab/>
      </w:r>
      <w:r w:rsidR="00E921D6">
        <w:rPr>
          <w:rFonts w:ascii="Arial" w:hAnsi="Arial" w:cs="Arial"/>
        </w:rPr>
        <w:tab/>
      </w:r>
      <w:r w:rsidR="00E921D6">
        <w:rPr>
          <w:rFonts w:ascii="Arial" w:hAnsi="Arial" w:cs="Arial"/>
        </w:rPr>
        <w:tab/>
      </w:r>
      <w:r w:rsidR="00E921D6" w:rsidRPr="007C0EC0">
        <w:rPr>
          <w:rFonts w:ascii="Arial" w:hAnsi="Arial" w:cs="Arial"/>
        </w:rPr>
        <w:t>U.S. Army Corps of Engineers</w:t>
      </w:r>
    </w:p>
    <w:p w:rsidR="00E921D6" w:rsidRPr="007C0EC0" w:rsidRDefault="007C0EC0" w:rsidP="00E921D6">
      <w:pPr>
        <w:rPr>
          <w:rFonts w:ascii="Arial" w:hAnsi="Arial" w:cs="Arial"/>
        </w:rPr>
      </w:pPr>
      <w:r w:rsidRPr="007C0EC0">
        <w:rPr>
          <w:rFonts w:ascii="Arial" w:hAnsi="Arial" w:cs="Arial"/>
        </w:rPr>
        <w:t>EPA Docket Center</w:t>
      </w:r>
      <w:r w:rsidR="00E921D6">
        <w:rPr>
          <w:rFonts w:ascii="Arial" w:hAnsi="Arial" w:cs="Arial"/>
        </w:rPr>
        <w:tab/>
      </w:r>
      <w:r w:rsidR="00E921D6">
        <w:rPr>
          <w:rFonts w:ascii="Arial" w:hAnsi="Arial" w:cs="Arial"/>
        </w:rPr>
        <w:tab/>
      </w:r>
      <w:r w:rsidR="00E921D6">
        <w:rPr>
          <w:rFonts w:ascii="Arial" w:hAnsi="Arial" w:cs="Arial"/>
        </w:rPr>
        <w:tab/>
      </w:r>
      <w:r w:rsidR="00E921D6">
        <w:rPr>
          <w:rFonts w:ascii="Arial" w:hAnsi="Arial" w:cs="Arial"/>
        </w:rPr>
        <w:tab/>
      </w:r>
      <w:r w:rsidR="00E921D6">
        <w:rPr>
          <w:rFonts w:ascii="Arial" w:hAnsi="Arial" w:cs="Arial"/>
        </w:rPr>
        <w:tab/>
      </w:r>
      <w:r w:rsidR="00E921D6">
        <w:rPr>
          <w:rFonts w:ascii="Arial" w:hAnsi="Arial" w:cs="Arial"/>
        </w:rPr>
        <w:tab/>
      </w:r>
      <w:r w:rsidR="00E921D6" w:rsidRPr="007C0EC0">
        <w:rPr>
          <w:rFonts w:ascii="Arial" w:hAnsi="Arial" w:cs="Arial"/>
        </w:rPr>
        <w:t>441 G Street, NW</w:t>
      </w:r>
    </w:p>
    <w:p w:rsidR="00E921D6" w:rsidRPr="007C0EC0" w:rsidRDefault="007C0EC0" w:rsidP="00E921D6">
      <w:pPr>
        <w:rPr>
          <w:rFonts w:ascii="Arial" w:hAnsi="Arial" w:cs="Arial"/>
        </w:rPr>
      </w:pPr>
      <w:r w:rsidRPr="007C0EC0">
        <w:rPr>
          <w:rFonts w:ascii="Arial" w:hAnsi="Arial" w:cs="Arial"/>
        </w:rPr>
        <w:t>Water Docket</w:t>
      </w:r>
      <w:r w:rsidR="00E921D6">
        <w:rPr>
          <w:rFonts w:ascii="Arial" w:hAnsi="Arial" w:cs="Arial"/>
        </w:rPr>
        <w:tab/>
      </w:r>
      <w:r w:rsidR="00E921D6">
        <w:rPr>
          <w:rFonts w:ascii="Arial" w:hAnsi="Arial" w:cs="Arial"/>
        </w:rPr>
        <w:tab/>
      </w:r>
      <w:r w:rsidR="00E921D6">
        <w:rPr>
          <w:rFonts w:ascii="Arial" w:hAnsi="Arial" w:cs="Arial"/>
        </w:rPr>
        <w:tab/>
      </w:r>
      <w:r w:rsidR="00E921D6">
        <w:rPr>
          <w:rFonts w:ascii="Arial" w:hAnsi="Arial" w:cs="Arial"/>
        </w:rPr>
        <w:tab/>
      </w:r>
      <w:r w:rsidR="00E921D6">
        <w:rPr>
          <w:rFonts w:ascii="Arial" w:hAnsi="Arial" w:cs="Arial"/>
        </w:rPr>
        <w:tab/>
      </w:r>
      <w:r w:rsidR="00E921D6">
        <w:rPr>
          <w:rFonts w:ascii="Arial" w:hAnsi="Arial" w:cs="Arial"/>
        </w:rPr>
        <w:tab/>
      </w:r>
      <w:r w:rsidR="00E921D6" w:rsidRPr="007C0EC0">
        <w:rPr>
          <w:rFonts w:ascii="Arial" w:hAnsi="Arial" w:cs="Arial"/>
        </w:rPr>
        <w:t>Washington, DC 20314</w:t>
      </w:r>
    </w:p>
    <w:p w:rsidR="007C0EC0" w:rsidRPr="0003349D" w:rsidRDefault="007C0EC0" w:rsidP="007C0EC0">
      <w:pPr>
        <w:rPr>
          <w:rFonts w:ascii="Arial" w:hAnsi="Arial" w:cs="Arial"/>
          <w:lang w:val="fr-FR"/>
        </w:rPr>
      </w:pPr>
      <w:r w:rsidRPr="0003349D">
        <w:rPr>
          <w:rFonts w:ascii="Arial" w:hAnsi="Arial" w:cs="Arial"/>
          <w:lang w:val="fr-FR"/>
        </w:rPr>
        <w:t xml:space="preserve">Mail Code </w:t>
      </w:r>
      <w:proofErr w:type="spellStart"/>
      <w:r w:rsidRPr="0003349D">
        <w:rPr>
          <w:rFonts w:ascii="Arial" w:hAnsi="Arial" w:cs="Arial"/>
          <w:lang w:val="fr-FR"/>
        </w:rPr>
        <w:t>28221T</w:t>
      </w:r>
      <w:proofErr w:type="spellEnd"/>
    </w:p>
    <w:p w:rsidR="007C0EC0" w:rsidRPr="0003349D" w:rsidRDefault="007C0EC0" w:rsidP="007C0EC0">
      <w:pPr>
        <w:rPr>
          <w:rFonts w:ascii="Arial" w:hAnsi="Arial" w:cs="Arial"/>
          <w:lang w:val="fr-FR"/>
        </w:rPr>
      </w:pPr>
      <w:r w:rsidRPr="0003349D">
        <w:rPr>
          <w:rFonts w:ascii="Arial" w:hAnsi="Arial" w:cs="Arial"/>
          <w:lang w:val="fr-FR"/>
        </w:rPr>
        <w:t xml:space="preserve">1200 </w:t>
      </w:r>
      <w:proofErr w:type="spellStart"/>
      <w:r w:rsidRPr="0003349D">
        <w:rPr>
          <w:rFonts w:ascii="Arial" w:hAnsi="Arial" w:cs="Arial"/>
          <w:lang w:val="fr-FR"/>
        </w:rPr>
        <w:t>Pennsylvania</w:t>
      </w:r>
      <w:proofErr w:type="spellEnd"/>
      <w:r w:rsidRPr="0003349D">
        <w:rPr>
          <w:rFonts w:ascii="Arial" w:hAnsi="Arial" w:cs="Arial"/>
          <w:lang w:val="fr-FR"/>
        </w:rPr>
        <w:t xml:space="preserve"> Avenue, </w:t>
      </w:r>
      <w:proofErr w:type="spellStart"/>
      <w:r w:rsidRPr="0003349D">
        <w:rPr>
          <w:rFonts w:ascii="Arial" w:hAnsi="Arial" w:cs="Arial"/>
          <w:lang w:val="fr-FR"/>
        </w:rPr>
        <w:t>NW</w:t>
      </w:r>
      <w:proofErr w:type="spellEnd"/>
    </w:p>
    <w:p w:rsidR="007C0EC0" w:rsidRPr="007C0EC0" w:rsidRDefault="007C0EC0" w:rsidP="007C0EC0">
      <w:pPr>
        <w:rPr>
          <w:rFonts w:ascii="Arial" w:hAnsi="Arial" w:cs="Arial"/>
        </w:rPr>
      </w:pPr>
      <w:r w:rsidRPr="007C0EC0">
        <w:rPr>
          <w:rFonts w:ascii="Arial" w:hAnsi="Arial" w:cs="Arial"/>
        </w:rPr>
        <w:t>Washington, DC 20460</w:t>
      </w:r>
    </w:p>
    <w:p w:rsidR="007C0EC0" w:rsidRPr="007C0EC0" w:rsidRDefault="007C0EC0" w:rsidP="007C0EC0">
      <w:pPr>
        <w:rPr>
          <w:rFonts w:ascii="Arial" w:hAnsi="Arial" w:cs="Arial"/>
        </w:rPr>
      </w:pPr>
    </w:p>
    <w:p w:rsidR="007C0EC0" w:rsidRPr="007C0EC0" w:rsidRDefault="007C0EC0" w:rsidP="00E921D6">
      <w:pPr>
        <w:rPr>
          <w:rFonts w:ascii="Arial" w:hAnsi="Arial" w:cs="Arial"/>
        </w:rPr>
      </w:pPr>
      <w:r w:rsidRPr="007C0EC0">
        <w:rPr>
          <w:rFonts w:ascii="Arial" w:hAnsi="Arial" w:cs="Arial"/>
          <w:b/>
        </w:rPr>
        <w:t>RE:</w:t>
      </w:r>
      <w:r w:rsidRPr="007C0EC0">
        <w:rPr>
          <w:rFonts w:ascii="Arial" w:hAnsi="Arial" w:cs="Arial"/>
          <w:b/>
        </w:rPr>
        <w:tab/>
      </w:r>
      <w:r w:rsidRPr="007C0EC0">
        <w:rPr>
          <w:rFonts w:ascii="Arial" w:hAnsi="Arial" w:cs="Arial"/>
          <w:b/>
          <w:u w:val="single"/>
        </w:rPr>
        <w:t>Docket ID No. EPA-HQ-OW-2017-0203</w:t>
      </w:r>
      <w:r w:rsidR="00E921D6">
        <w:rPr>
          <w:rFonts w:ascii="Arial" w:hAnsi="Arial" w:cs="Arial"/>
          <w:b/>
          <w:u w:val="single"/>
        </w:rPr>
        <w:t>:</w:t>
      </w:r>
      <w:r w:rsidR="00E921D6" w:rsidRPr="00E921D6">
        <w:rPr>
          <w:rFonts w:ascii="Arial" w:hAnsi="Arial" w:cs="Arial"/>
          <w:b/>
        </w:rPr>
        <w:t xml:space="preserve"> </w:t>
      </w:r>
      <w:r w:rsidRPr="007C0EC0">
        <w:rPr>
          <w:rFonts w:ascii="Arial" w:hAnsi="Arial" w:cs="Arial"/>
          <w:b/>
        </w:rPr>
        <w:t>Definition of “Waters of the United States”—Recodification of Pre-Existing Rules; Supplemental Notice of Proposed Rulemaking, 83 Fed. Reg. 32,227 (July 12, 2018)</w:t>
      </w:r>
    </w:p>
    <w:p w:rsidR="007C0EC0" w:rsidRPr="007C0EC0" w:rsidRDefault="007C0EC0" w:rsidP="007C0EC0">
      <w:pPr>
        <w:rPr>
          <w:rFonts w:ascii="Arial" w:hAnsi="Arial" w:cs="Arial"/>
        </w:rPr>
      </w:pPr>
    </w:p>
    <w:p w:rsidR="007C0EC0" w:rsidRPr="007C0EC0" w:rsidRDefault="007C0EC0" w:rsidP="007C0EC0">
      <w:pPr>
        <w:rPr>
          <w:rFonts w:ascii="Arial" w:hAnsi="Arial" w:cs="Arial"/>
        </w:rPr>
      </w:pPr>
      <w:r w:rsidRPr="007C0EC0">
        <w:rPr>
          <w:rFonts w:ascii="Arial" w:hAnsi="Arial" w:cs="Arial"/>
        </w:rPr>
        <w:t>To Whom It May Concern:</w:t>
      </w:r>
    </w:p>
    <w:p w:rsidR="007C0EC0" w:rsidRPr="007C0EC0" w:rsidRDefault="007C0EC0" w:rsidP="007C0EC0">
      <w:pPr>
        <w:rPr>
          <w:rFonts w:ascii="Arial" w:hAnsi="Arial" w:cs="Arial"/>
        </w:rPr>
      </w:pPr>
    </w:p>
    <w:p w:rsidR="003D4EA7" w:rsidRDefault="00283BA5" w:rsidP="007C0EC0">
      <w:pPr>
        <w:pStyle w:val="BodyText"/>
        <w:rPr>
          <w:rFonts w:cs="Arial"/>
          <w:szCs w:val="24"/>
          <w:lang w:val="en-US"/>
        </w:rPr>
      </w:pPr>
      <w:r>
        <w:rPr>
          <w:rFonts w:cs="Arial"/>
          <w:szCs w:val="24"/>
          <w:lang w:val="en-US"/>
        </w:rPr>
        <w:t>The undersigned forest products industry associations offer</w:t>
      </w:r>
      <w:r w:rsidR="007C0EC0" w:rsidRPr="007C0EC0">
        <w:rPr>
          <w:rFonts w:cs="Arial"/>
          <w:szCs w:val="24"/>
          <w:lang w:val="en-US"/>
        </w:rPr>
        <w:t xml:space="preserve"> the following comments </w:t>
      </w:r>
      <w:r w:rsidR="003D4EA7">
        <w:rPr>
          <w:rFonts w:cs="Arial"/>
          <w:szCs w:val="24"/>
          <w:lang w:val="en-US"/>
        </w:rPr>
        <w:t>on</w:t>
      </w:r>
      <w:r w:rsidR="007C0EC0" w:rsidRPr="007C0EC0">
        <w:rPr>
          <w:rFonts w:cs="Arial"/>
          <w:szCs w:val="24"/>
          <w:lang w:val="en-US"/>
        </w:rPr>
        <w:t xml:space="preserve"> the United States Environmental Protection Agency’s (“EPA”) and United States Army Corps of Engineers’ (“Corps”) supplemental notice of proposed rulemaking, titled “Definition of ‘Waters of the United States’ – Recodification of Existing Rule,” published in the </w:t>
      </w:r>
      <w:r w:rsidR="007C0EC0" w:rsidRPr="007C0EC0">
        <w:rPr>
          <w:rFonts w:cs="Arial"/>
          <w:i/>
          <w:szCs w:val="24"/>
          <w:lang w:val="en-US"/>
        </w:rPr>
        <w:t>Federal Register</w:t>
      </w:r>
      <w:r w:rsidR="007C0EC0" w:rsidRPr="007C0EC0">
        <w:rPr>
          <w:rFonts w:cs="Arial"/>
          <w:szCs w:val="24"/>
          <w:lang w:val="en-US"/>
        </w:rPr>
        <w:t xml:space="preserve"> at </w:t>
      </w:r>
      <w:r w:rsidR="007A09A2">
        <w:rPr>
          <w:rFonts w:cs="Arial"/>
          <w:szCs w:val="24"/>
          <w:lang w:val="en-US"/>
        </w:rPr>
        <w:t>83 Fed. Reg. 32,227 on July 12, 2018</w:t>
      </w:r>
      <w:r w:rsidR="00B93E6B">
        <w:rPr>
          <w:rFonts w:cs="Arial"/>
          <w:szCs w:val="24"/>
          <w:lang w:val="en-US"/>
        </w:rPr>
        <w:t>.</w:t>
      </w:r>
    </w:p>
    <w:p w:rsidR="007C0EC0" w:rsidRPr="007C0EC0" w:rsidRDefault="007C0EC0" w:rsidP="007C0EC0">
      <w:pPr>
        <w:pStyle w:val="BodyText"/>
        <w:rPr>
          <w:rFonts w:cs="Arial"/>
          <w:szCs w:val="24"/>
          <w:lang w:val="en-US"/>
        </w:rPr>
      </w:pPr>
      <w:r w:rsidRPr="007C0EC0">
        <w:rPr>
          <w:rFonts w:cs="Arial"/>
          <w:szCs w:val="24"/>
          <w:lang w:val="en-US"/>
        </w:rPr>
        <w:t>Private working forests support 2.4 million American jobs and provide $87 billion annually in paychecks. Nationwide, there are 11.3 million private forest owners, who manage 420 million acres—about 56% of the forested land in the entire country. These working forests are vital to our nation’s natural resource infrastructure, providing forest products, open space, wildlife habitat, clean water and air, recreation, and much more. America’s forest owners lead the world when it comes to sustainable forestry practices. They operate under a framework engineered largely by the States, which enact and administer the world’s most effective forestry laws, regulations, and agreements. One key to that framework’s success is the way in which it is carefully tailored to account for and address local conditions and satisfy local needs.</w:t>
      </w:r>
    </w:p>
    <w:p w:rsidR="007C0EC0" w:rsidRPr="007C0EC0" w:rsidRDefault="007C0EC0" w:rsidP="007C0EC0">
      <w:pPr>
        <w:pStyle w:val="BodyText"/>
        <w:rPr>
          <w:rFonts w:cs="Arial"/>
          <w:szCs w:val="24"/>
          <w:lang w:val="en-US"/>
        </w:rPr>
      </w:pPr>
      <w:r w:rsidRPr="007C0EC0">
        <w:rPr>
          <w:rFonts w:cs="Arial"/>
          <w:szCs w:val="24"/>
          <w:lang w:val="en-US"/>
        </w:rPr>
        <w:t>Today, the greatest threat of deforestation comes from the conversion of forests to non-forest uses that produce a higher economic value. To make new investments in sound, long-term forest management, the people, families, and businesses that own nearly 60% of our nation’s forests depend on the returns they get from the products their forests yield. When existing markets for forest products are strong or when new markets like bio-energy emerge, it makes forestry economical and thus gives forest owners the means of keeping their lands forested. By contrast, when regulatory costs and barriers increase, forest owners necessarily lose some of their ability to maintain the land as forested; the economic pressures are simply too great. When land converts from forest land to some other use, it increases pressure on water and other natural resources and reduces the quality of the land compared to what exists in working forests.</w:t>
      </w:r>
    </w:p>
    <w:p w:rsidR="007C0EC0" w:rsidRPr="007C0EC0" w:rsidRDefault="007C0EC0" w:rsidP="007C0EC0">
      <w:pPr>
        <w:pStyle w:val="BodyText"/>
        <w:rPr>
          <w:rFonts w:cs="Arial"/>
          <w:szCs w:val="24"/>
          <w:lang w:val="en-US"/>
        </w:rPr>
      </w:pPr>
      <w:r w:rsidRPr="007C0EC0">
        <w:rPr>
          <w:rFonts w:cs="Arial"/>
          <w:szCs w:val="24"/>
          <w:lang w:val="en-US"/>
        </w:rPr>
        <w:lastRenderedPageBreak/>
        <w:t>Forests are a renewable resource. Like other resources, as their value increases, the number of forests will increase proportionally. Economic returns to wood production and forest-based manufacturing provide important incentives for private forest stewardship in the United States. Absent these incentives, which regulatory costs and uncertainty tend to substantially diminish, many working forests would, at a minimum, suffer decreased productivity, which often leads to conversion into non-forest uses.</w:t>
      </w:r>
    </w:p>
    <w:p w:rsidR="007C0EC0" w:rsidRDefault="007C0EC0" w:rsidP="007C0EC0">
      <w:pPr>
        <w:pStyle w:val="BodyText"/>
        <w:rPr>
          <w:rFonts w:cs="Arial"/>
          <w:szCs w:val="24"/>
          <w:lang w:val="en-US"/>
        </w:rPr>
      </w:pPr>
      <w:r w:rsidRPr="007C0EC0">
        <w:rPr>
          <w:rFonts w:cs="Arial"/>
          <w:szCs w:val="24"/>
          <w:lang w:val="en-US"/>
        </w:rPr>
        <w:t xml:space="preserve">For decades, the jurisdictional reach of the Clean Water Act (“CWA”) has been of considerable consternation to the forestry industry. Foresters have been left to guess about the meaning of “waters of the United States” (“WOTUS”) in the CWA and about how regulators will interpret and apply certain ambiguous </w:t>
      </w:r>
      <w:r w:rsidR="002A570B">
        <w:rPr>
          <w:rFonts w:cs="Arial"/>
          <w:szCs w:val="24"/>
          <w:lang w:val="en-US"/>
        </w:rPr>
        <w:t>terms in the regulatory text</w:t>
      </w:r>
      <w:r w:rsidRPr="007C0EC0">
        <w:rPr>
          <w:rFonts w:cs="Arial"/>
          <w:szCs w:val="24"/>
          <w:lang w:val="en-US"/>
        </w:rPr>
        <w:t>.</w:t>
      </w:r>
      <w:r w:rsidR="002A570B">
        <w:rPr>
          <w:rFonts w:cs="Arial"/>
          <w:szCs w:val="24"/>
          <w:lang w:val="en-US"/>
        </w:rPr>
        <w:t xml:space="preserve"> </w:t>
      </w:r>
      <w:r w:rsidRPr="007C0EC0">
        <w:rPr>
          <w:rFonts w:cs="Arial"/>
          <w:szCs w:val="24"/>
          <w:lang w:val="en-US"/>
        </w:rPr>
        <w:t xml:space="preserve">When, in 2015, EPA and the Corps (collectively “the Agencies”) promulgated a </w:t>
      </w:r>
      <w:r w:rsidR="002A570B">
        <w:rPr>
          <w:rFonts w:cs="Arial"/>
          <w:szCs w:val="24"/>
          <w:lang w:val="en-US"/>
        </w:rPr>
        <w:t>revised definition of</w:t>
      </w:r>
      <w:r w:rsidRPr="007C0EC0">
        <w:rPr>
          <w:rFonts w:cs="Arial"/>
          <w:szCs w:val="24"/>
          <w:lang w:val="en-US"/>
        </w:rPr>
        <w:t xml:space="preserve"> WOTUS</w:t>
      </w:r>
      <w:r w:rsidR="003A5E36">
        <w:rPr>
          <w:rFonts w:cs="Arial"/>
          <w:szCs w:val="24"/>
          <w:lang w:val="en-US"/>
        </w:rPr>
        <w:t>,</w:t>
      </w:r>
      <w:r w:rsidR="007F0A3F">
        <w:rPr>
          <w:rStyle w:val="FootnoteReference"/>
          <w:rFonts w:cs="Arial"/>
          <w:szCs w:val="24"/>
          <w:lang w:val="en-US"/>
        </w:rPr>
        <w:footnoteReference w:id="1"/>
      </w:r>
      <w:r w:rsidRPr="007C0EC0">
        <w:rPr>
          <w:rFonts w:cs="Arial"/>
          <w:szCs w:val="24"/>
          <w:lang w:val="en-US"/>
        </w:rPr>
        <w:t xml:space="preserve"> it only served to make matters worse. The Rule overreached </w:t>
      </w:r>
      <w:r w:rsidR="00CE2886">
        <w:rPr>
          <w:rFonts w:cs="Arial"/>
          <w:szCs w:val="24"/>
          <w:lang w:val="en-US"/>
        </w:rPr>
        <w:t>by stretching the scope</w:t>
      </w:r>
      <w:r w:rsidRPr="007C0EC0">
        <w:rPr>
          <w:rFonts w:cs="Arial"/>
          <w:szCs w:val="24"/>
          <w:lang w:val="en-US"/>
        </w:rPr>
        <w:t xml:space="preserve"> of CWA jurisdiction</w:t>
      </w:r>
      <w:r w:rsidR="00383A26">
        <w:rPr>
          <w:rFonts w:cs="Arial"/>
          <w:szCs w:val="24"/>
          <w:lang w:val="en-US"/>
        </w:rPr>
        <w:t xml:space="preserve"> well </w:t>
      </w:r>
      <w:r w:rsidR="00CE2886">
        <w:rPr>
          <w:rFonts w:cs="Arial"/>
          <w:szCs w:val="24"/>
          <w:lang w:val="en-US"/>
        </w:rPr>
        <w:t>beyond what Congress intended</w:t>
      </w:r>
      <w:r w:rsidRPr="007C0EC0">
        <w:rPr>
          <w:rFonts w:cs="Arial"/>
          <w:szCs w:val="24"/>
          <w:lang w:val="en-US"/>
        </w:rPr>
        <w:t>. It also introduced a host of new terms into the CWA lexicon that are so ambiguous as to be incapable of practical, real world application in the forest industry.</w:t>
      </w:r>
    </w:p>
    <w:p w:rsidR="0062751E" w:rsidRDefault="0062751E" w:rsidP="007C0EC0">
      <w:pPr>
        <w:pStyle w:val="BodyText"/>
        <w:rPr>
          <w:rFonts w:cs="Arial"/>
          <w:szCs w:val="24"/>
          <w:lang w:val="en-US"/>
        </w:rPr>
      </w:pPr>
    </w:p>
    <w:p w:rsidR="00C931BA" w:rsidRPr="00C931BA" w:rsidRDefault="00C931BA" w:rsidP="00C931BA">
      <w:pPr>
        <w:pStyle w:val="BodyText"/>
        <w:ind w:firstLine="0"/>
        <w:rPr>
          <w:rFonts w:cs="Arial"/>
          <w:b/>
          <w:szCs w:val="24"/>
          <w:u w:val="single"/>
          <w:lang w:val="en-US"/>
        </w:rPr>
      </w:pPr>
      <w:r>
        <w:rPr>
          <w:rFonts w:cs="Arial"/>
          <w:b/>
          <w:szCs w:val="24"/>
          <w:u w:val="single"/>
          <w:lang w:val="en-US"/>
        </w:rPr>
        <w:t xml:space="preserve">Summary </w:t>
      </w:r>
    </w:p>
    <w:p w:rsidR="00CE2886" w:rsidRDefault="00283BA5" w:rsidP="00CE2886">
      <w:pPr>
        <w:pStyle w:val="BodyText"/>
        <w:rPr>
          <w:rFonts w:cs="Arial"/>
          <w:szCs w:val="24"/>
          <w:lang w:val="en-US"/>
        </w:rPr>
      </w:pPr>
      <w:r>
        <w:rPr>
          <w:rFonts w:cs="Arial"/>
          <w:szCs w:val="24"/>
          <w:lang w:val="en-US"/>
        </w:rPr>
        <w:t>The National Alliance of Forest Owners (“</w:t>
      </w:r>
      <w:r w:rsidR="00CE2886">
        <w:rPr>
          <w:rFonts w:cs="Arial"/>
          <w:szCs w:val="24"/>
          <w:lang w:val="en-US"/>
        </w:rPr>
        <w:t>NAFO</w:t>
      </w:r>
      <w:r>
        <w:rPr>
          <w:rFonts w:cs="Arial"/>
          <w:szCs w:val="24"/>
          <w:lang w:val="en-US"/>
        </w:rPr>
        <w:t>”)</w:t>
      </w:r>
      <w:r w:rsidR="00CE2886">
        <w:rPr>
          <w:rFonts w:cs="Arial"/>
          <w:szCs w:val="24"/>
          <w:lang w:val="en-US"/>
        </w:rPr>
        <w:t xml:space="preserve"> previously comment</w:t>
      </w:r>
      <w:r w:rsidR="00C931BA">
        <w:rPr>
          <w:rFonts w:cs="Arial"/>
          <w:szCs w:val="24"/>
          <w:lang w:val="en-US"/>
        </w:rPr>
        <w:t>ed</w:t>
      </w:r>
      <w:r w:rsidR="00CE2886">
        <w:rPr>
          <w:rFonts w:cs="Arial"/>
          <w:szCs w:val="24"/>
          <w:lang w:val="en-US"/>
        </w:rPr>
        <w:t xml:space="preserve"> in support of the Agencies’ </w:t>
      </w:r>
      <w:r w:rsidR="00383A26">
        <w:rPr>
          <w:rFonts w:cs="Arial"/>
          <w:szCs w:val="24"/>
          <w:lang w:val="en-US"/>
        </w:rPr>
        <w:t xml:space="preserve">July 2017 </w:t>
      </w:r>
      <w:r w:rsidR="00CE2886">
        <w:rPr>
          <w:rFonts w:cs="Arial"/>
          <w:szCs w:val="24"/>
          <w:lang w:val="en-US"/>
        </w:rPr>
        <w:t>proposal</w:t>
      </w:r>
      <w:r w:rsidR="007F0A3F">
        <w:rPr>
          <w:rStyle w:val="FootnoteReference"/>
          <w:rFonts w:cs="Arial"/>
          <w:szCs w:val="24"/>
          <w:lang w:val="en-US"/>
        </w:rPr>
        <w:footnoteReference w:id="2"/>
      </w:r>
      <w:r w:rsidR="00CE2886">
        <w:rPr>
          <w:rFonts w:cs="Arial"/>
          <w:szCs w:val="24"/>
          <w:lang w:val="en-US"/>
        </w:rPr>
        <w:t xml:space="preserve"> to repeal the 2015 Rule.</w:t>
      </w:r>
      <w:r w:rsidR="00C931BA">
        <w:rPr>
          <w:rStyle w:val="FootnoteReference"/>
          <w:rFonts w:cs="Arial"/>
          <w:szCs w:val="24"/>
          <w:lang w:val="en-US"/>
        </w:rPr>
        <w:footnoteReference w:id="3"/>
      </w:r>
      <w:r w:rsidR="00CE2886">
        <w:rPr>
          <w:rFonts w:cs="Arial"/>
          <w:szCs w:val="24"/>
          <w:lang w:val="en-US"/>
        </w:rPr>
        <w:t xml:space="preserve"> </w:t>
      </w:r>
      <w:r>
        <w:rPr>
          <w:rFonts w:cs="Arial"/>
          <w:szCs w:val="24"/>
          <w:lang w:val="en-US"/>
        </w:rPr>
        <w:t>T</w:t>
      </w:r>
      <w:r w:rsidR="00CE2886">
        <w:rPr>
          <w:rFonts w:cs="Arial"/>
          <w:szCs w:val="24"/>
          <w:lang w:val="en-US"/>
        </w:rPr>
        <w:t xml:space="preserve">hose comments discussed the Agencies’ </w:t>
      </w:r>
      <w:r w:rsidR="00267DFD">
        <w:rPr>
          <w:rFonts w:cs="Arial"/>
          <w:szCs w:val="24"/>
          <w:lang w:val="en-US"/>
        </w:rPr>
        <w:t xml:space="preserve">statutory </w:t>
      </w:r>
      <w:r w:rsidR="00CE2886">
        <w:rPr>
          <w:rFonts w:cs="Arial"/>
          <w:szCs w:val="24"/>
          <w:lang w:val="en-US"/>
        </w:rPr>
        <w:t xml:space="preserve">authority to rescind the 2015 Rule through a new notice-and-comment rulemaking proceeding, and expressed </w:t>
      </w:r>
      <w:proofErr w:type="spellStart"/>
      <w:r>
        <w:rPr>
          <w:rFonts w:cs="Arial"/>
          <w:szCs w:val="24"/>
          <w:lang w:val="en-US"/>
        </w:rPr>
        <w:t>NAFO’s</w:t>
      </w:r>
      <w:proofErr w:type="spellEnd"/>
      <w:r>
        <w:rPr>
          <w:rFonts w:cs="Arial"/>
          <w:szCs w:val="24"/>
          <w:lang w:val="en-US"/>
        </w:rPr>
        <w:t xml:space="preserve"> </w:t>
      </w:r>
      <w:r w:rsidR="00CE2886">
        <w:rPr>
          <w:rFonts w:cs="Arial"/>
          <w:szCs w:val="24"/>
          <w:lang w:val="en-US"/>
        </w:rPr>
        <w:t xml:space="preserve">agreement that the 2015 Rule should be repealed </w:t>
      </w:r>
      <w:r w:rsidR="00C931BA">
        <w:rPr>
          <w:rFonts w:cs="Arial"/>
          <w:szCs w:val="24"/>
          <w:lang w:val="en-US"/>
        </w:rPr>
        <w:t xml:space="preserve">because </w:t>
      </w:r>
      <w:r w:rsidR="00CE2886">
        <w:rPr>
          <w:rFonts w:cs="Arial"/>
          <w:szCs w:val="24"/>
          <w:lang w:val="en-US"/>
        </w:rPr>
        <w:t>it impermissibly alters the federal-state framework in contravention of Congress’s stated policy in CWA Section 101(b).</w:t>
      </w:r>
      <w:r w:rsidR="007F0A3F">
        <w:rPr>
          <w:rStyle w:val="FootnoteReference"/>
          <w:rFonts w:cs="Arial"/>
          <w:szCs w:val="24"/>
          <w:lang w:val="en-US"/>
        </w:rPr>
        <w:footnoteReference w:id="4"/>
      </w:r>
      <w:r w:rsidR="00CE2886">
        <w:rPr>
          <w:rFonts w:cs="Arial"/>
          <w:szCs w:val="24"/>
          <w:lang w:val="en-US"/>
        </w:rPr>
        <w:t xml:space="preserve"> </w:t>
      </w:r>
      <w:r>
        <w:rPr>
          <w:rFonts w:cs="Arial"/>
          <w:szCs w:val="24"/>
          <w:lang w:val="en-US"/>
        </w:rPr>
        <w:t>NAFO</w:t>
      </w:r>
      <w:r w:rsidR="00C931BA">
        <w:rPr>
          <w:rFonts w:cs="Arial"/>
          <w:szCs w:val="24"/>
          <w:lang w:val="en-US"/>
        </w:rPr>
        <w:t xml:space="preserve"> also</w:t>
      </w:r>
      <w:r w:rsidR="00CE2886">
        <w:rPr>
          <w:rFonts w:cs="Arial"/>
          <w:szCs w:val="24"/>
          <w:lang w:val="en-US"/>
        </w:rPr>
        <w:t xml:space="preserve"> </w:t>
      </w:r>
      <w:r w:rsidR="002064AF">
        <w:rPr>
          <w:rFonts w:cs="Arial"/>
          <w:szCs w:val="24"/>
          <w:lang w:val="en-US"/>
        </w:rPr>
        <w:t>urged</w:t>
      </w:r>
      <w:r w:rsidR="00CE2886">
        <w:rPr>
          <w:rFonts w:cs="Arial"/>
          <w:szCs w:val="24"/>
          <w:lang w:val="en-US"/>
        </w:rPr>
        <w:t xml:space="preserve"> EPA and the Corps </w:t>
      </w:r>
      <w:r w:rsidR="002064AF">
        <w:rPr>
          <w:rFonts w:cs="Arial"/>
          <w:szCs w:val="24"/>
          <w:lang w:val="en-US"/>
        </w:rPr>
        <w:t xml:space="preserve">to </w:t>
      </w:r>
      <w:r w:rsidR="00C931BA">
        <w:rPr>
          <w:rFonts w:cs="Arial"/>
          <w:szCs w:val="24"/>
          <w:lang w:val="en-US"/>
        </w:rPr>
        <w:t>further</w:t>
      </w:r>
      <w:r w:rsidR="00CE2886">
        <w:rPr>
          <w:rFonts w:cs="Arial"/>
          <w:szCs w:val="24"/>
          <w:lang w:val="en-US"/>
        </w:rPr>
        <w:t xml:space="preserve"> justify the proposed repeal by pointing to the many flaws identified by federal courts that preliminarily stayed the 2015 Rule</w:t>
      </w:r>
      <w:r w:rsidR="00C931BA">
        <w:rPr>
          <w:rFonts w:cs="Arial"/>
          <w:szCs w:val="24"/>
          <w:lang w:val="en-US"/>
        </w:rPr>
        <w:t xml:space="preserve"> and </w:t>
      </w:r>
      <w:r w:rsidR="006512A9">
        <w:rPr>
          <w:rFonts w:cs="Arial"/>
          <w:szCs w:val="24"/>
          <w:lang w:val="en-US"/>
        </w:rPr>
        <w:t>by concluding that</w:t>
      </w:r>
      <w:r w:rsidR="00C931BA">
        <w:rPr>
          <w:rFonts w:cs="Arial"/>
          <w:szCs w:val="24"/>
          <w:lang w:val="en-US"/>
        </w:rPr>
        <w:t xml:space="preserve"> the rule failed to achieve clarity a</w:t>
      </w:r>
      <w:r w:rsidR="006512A9">
        <w:rPr>
          <w:rFonts w:cs="Arial"/>
          <w:szCs w:val="24"/>
          <w:lang w:val="en-US"/>
        </w:rPr>
        <w:t>nd was instead u</w:t>
      </w:r>
      <w:r w:rsidR="00CE2886">
        <w:rPr>
          <w:rFonts w:cs="Arial"/>
          <w:szCs w:val="24"/>
          <w:lang w:val="en-US"/>
        </w:rPr>
        <w:t>nconstitutionally vague.</w:t>
      </w:r>
      <w:r w:rsidR="00F16898">
        <w:rPr>
          <w:rStyle w:val="FootnoteReference"/>
          <w:rFonts w:cs="Arial"/>
          <w:szCs w:val="24"/>
          <w:lang w:val="en-US"/>
        </w:rPr>
        <w:footnoteReference w:id="5"/>
      </w:r>
      <w:r w:rsidR="00CE2886">
        <w:rPr>
          <w:rFonts w:cs="Arial"/>
          <w:szCs w:val="24"/>
          <w:lang w:val="en-US"/>
        </w:rPr>
        <w:t xml:space="preserve"> Finally, </w:t>
      </w:r>
      <w:r>
        <w:rPr>
          <w:rFonts w:cs="Arial"/>
          <w:szCs w:val="24"/>
          <w:lang w:val="en-US"/>
        </w:rPr>
        <w:t xml:space="preserve">those comments </w:t>
      </w:r>
      <w:r w:rsidR="00CE2886">
        <w:rPr>
          <w:rFonts w:cs="Arial"/>
          <w:szCs w:val="24"/>
          <w:lang w:val="en-US"/>
        </w:rPr>
        <w:t xml:space="preserve">agreed with the Agencies’ </w:t>
      </w:r>
      <w:r>
        <w:rPr>
          <w:rFonts w:cs="Arial"/>
          <w:szCs w:val="24"/>
          <w:lang w:val="en-US"/>
        </w:rPr>
        <w:t xml:space="preserve">conclusion that repeal of the 2015 Rule would result in the reinstatement of previous rules and policies and that the </w:t>
      </w:r>
      <w:r>
        <w:rPr>
          <w:rFonts w:cs="Arial"/>
          <w:szCs w:val="24"/>
          <w:lang w:val="en-US"/>
        </w:rPr>
        <w:lastRenderedPageBreak/>
        <w:t>previous rules are an acceptable alternative until the Agencies adopt a revised WOTUS definition</w:t>
      </w:r>
      <w:r w:rsidR="00CE2886">
        <w:rPr>
          <w:rFonts w:cs="Arial"/>
          <w:szCs w:val="24"/>
          <w:lang w:val="en-US"/>
        </w:rPr>
        <w:t xml:space="preserve">. </w:t>
      </w:r>
      <w:r>
        <w:rPr>
          <w:rFonts w:cs="Arial"/>
          <w:szCs w:val="24"/>
          <w:lang w:val="en-US"/>
        </w:rPr>
        <w:t xml:space="preserve">The undersigned associations endorse </w:t>
      </w:r>
      <w:proofErr w:type="spellStart"/>
      <w:r>
        <w:rPr>
          <w:rFonts w:cs="Arial"/>
          <w:szCs w:val="24"/>
          <w:lang w:val="en-US"/>
        </w:rPr>
        <w:t>NAFO’s</w:t>
      </w:r>
      <w:proofErr w:type="spellEnd"/>
      <w:r>
        <w:rPr>
          <w:rFonts w:cs="Arial"/>
          <w:szCs w:val="24"/>
          <w:lang w:val="en-US"/>
        </w:rPr>
        <w:t xml:space="preserve"> prior comments in addition to submitting the comments below.</w:t>
      </w:r>
    </w:p>
    <w:p w:rsidR="006512A9" w:rsidRDefault="006512A9" w:rsidP="00CE2886">
      <w:pPr>
        <w:pStyle w:val="BodyText"/>
        <w:rPr>
          <w:rFonts w:cs="Arial"/>
          <w:szCs w:val="24"/>
          <w:lang w:val="en-US"/>
        </w:rPr>
      </w:pPr>
      <w:r>
        <w:rPr>
          <w:rFonts w:cs="Arial"/>
          <w:szCs w:val="24"/>
          <w:lang w:val="en-US"/>
        </w:rPr>
        <w:t>All of the</w:t>
      </w:r>
      <w:r w:rsidR="00283BA5">
        <w:rPr>
          <w:rFonts w:cs="Arial"/>
          <w:szCs w:val="24"/>
          <w:lang w:val="en-US"/>
        </w:rPr>
        <w:t xml:space="preserve"> aforementioned</w:t>
      </w:r>
      <w:r>
        <w:rPr>
          <w:rFonts w:cs="Arial"/>
          <w:szCs w:val="24"/>
          <w:lang w:val="en-US"/>
        </w:rPr>
        <w:t xml:space="preserve"> justifications</w:t>
      </w:r>
      <w:r w:rsidR="00283BA5">
        <w:rPr>
          <w:rFonts w:cs="Arial"/>
          <w:szCs w:val="24"/>
          <w:lang w:val="en-US"/>
        </w:rPr>
        <w:t xml:space="preserve"> for repeal</w:t>
      </w:r>
      <w:r w:rsidR="00CE2886">
        <w:rPr>
          <w:rFonts w:cs="Arial"/>
          <w:szCs w:val="24"/>
          <w:lang w:val="en-US"/>
        </w:rPr>
        <w:t xml:space="preserve"> </w:t>
      </w:r>
      <w:r>
        <w:rPr>
          <w:rFonts w:cs="Arial"/>
          <w:szCs w:val="24"/>
          <w:lang w:val="en-US"/>
        </w:rPr>
        <w:t>remain valid today</w:t>
      </w:r>
      <w:r w:rsidR="00CE2886">
        <w:rPr>
          <w:rFonts w:cs="Arial"/>
          <w:szCs w:val="24"/>
          <w:lang w:val="en-US"/>
        </w:rPr>
        <w:t xml:space="preserve">. </w:t>
      </w:r>
      <w:r>
        <w:rPr>
          <w:rFonts w:cs="Arial"/>
          <w:szCs w:val="24"/>
          <w:lang w:val="en-US"/>
        </w:rPr>
        <w:t>I</w:t>
      </w:r>
      <w:r w:rsidR="00F16898">
        <w:rPr>
          <w:rFonts w:cs="Arial"/>
          <w:szCs w:val="24"/>
          <w:lang w:val="en-US"/>
        </w:rPr>
        <w:t>f anything</w:t>
      </w:r>
      <w:r>
        <w:rPr>
          <w:rFonts w:cs="Arial"/>
          <w:szCs w:val="24"/>
          <w:lang w:val="en-US"/>
        </w:rPr>
        <w:t>, the</w:t>
      </w:r>
      <w:r w:rsidR="00F16898">
        <w:rPr>
          <w:rFonts w:cs="Arial"/>
          <w:szCs w:val="24"/>
          <w:lang w:val="en-US"/>
        </w:rPr>
        <w:t>y</w:t>
      </w:r>
      <w:r>
        <w:rPr>
          <w:rFonts w:cs="Arial"/>
          <w:szCs w:val="24"/>
          <w:lang w:val="en-US"/>
        </w:rPr>
        <w:t xml:space="preserve"> are even stronger </w:t>
      </w:r>
      <w:r w:rsidR="00F16898">
        <w:rPr>
          <w:rFonts w:cs="Arial"/>
          <w:szCs w:val="24"/>
          <w:lang w:val="en-US"/>
        </w:rPr>
        <w:t xml:space="preserve">now </w:t>
      </w:r>
      <w:r>
        <w:rPr>
          <w:rFonts w:cs="Arial"/>
          <w:szCs w:val="24"/>
          <w:lang w:val="en-US"/>
        </w:rPr>
        <w:t>that another federal court has preliminarily enjoined the 2015 Rule after finding, among other things, that numerous states are likely to succeed on the merits of both substantive and procedural challenges to the rule.</w:t>
      </w:r>
      <w:r>
        <w:rPr>
          <w:rStyle w:val="FootnoteReference"/>
          <w:rFonts w:cs="Arial"/>
          <w:szCs w:val="24"/>
          <w:lang w:val="en-US"/>
        </w:rPr>
        <w:footnoteReference w:id="6"/>
      </w:r>
      <w:r>
        <w:rPr>
          <w:rFonts w:cs="Arial"/>
          <w:szCs w:val="24"/>
          <w:lang w:val="en-US"/>
        </w:rPr>
        <w:t xml:space="preserve"> </w:t>
      </w:r>
      <w:r w:rsidR="00ED4B80">
        <w:rPr>
          <w:rFonts w:cs="Arial"/>
          <w:szCs w:val="24"/>
          <w:lang w:val="en-US"/>
        </w:rPr>
        <w:t>But apart from that</w:t>
      </w:r>
      <w:r>
        <w:rPr>
          <w:rFonts w:cs="Arial"/>
          <w:szCs w:val="24"/>
          <w:lang w:val="en-US"/>
        </w:rPr>
        <w:t xml:space="preserve">, </w:t>
      </w:r>
      <w:r w:rsidR="00283BA5">
        <w:rPr>
          <w:rFonts w:cs="Arial"/>
          <w:szCs w:val="24"/>
          <w:lang w:val="en-US"/>
        </w:rPr>
        <w:t xml:space="preserve">we </w:t>
      </w:r>
      <w:r w:rsidR="00ED4B80">
        <w:rPr>
          <w:rFonts w:cs="Arial"/>
          <w:szCs w:val="24"/>
          <w:lang w:val="en-US"/>
        </w:rPr>
        <w:t>offer these</w:t>
      </w:r>
      <w:r w:rsidR="00CE2886">
        <w:rPr>
          <w:rFonts w:cs="Arial"/>
          <w:szCs w:val="24"/>
          <w:lang w:val="en-US"/>
        </w:rPr>
        <w:t xml:space="preserve"> supplement</w:t>
      </w:r>
      <w:r w:rsidR="002064AF">
        <w:rPr>
          <w:rFonts w:cs="Arial"/>
          <w:szCs w:val="24"/>
          <w:lang w:val="en-US"/>
        </w:rPr>
        <w:t>al</w:t>
      </w:r>
      <w:r w:rsidR="00ED4B80">
        <w:rPr>
          <w:rFonts w:cs="Arial"/>
          <w:szCs w:val="24"/>
          <w:lang w:val="en-US"/>
        </w:rPr>
        <w:t xml:space="preserve"> comments to</w:t>
      </w:r>
      <w:r w:rsidR="00CE2886">
        <w:rPr>
          <w:rFonts w:cs="Arial"/>
          <w:szCs w:val="24"/>
          <w:lang w:val="en-US"/>
        </w:rPr>
        <w:t xml:space="preserve"> detail additional reasons why the Agencies </w:t>
      </w:r>
      <w:r>
        <w:rPr>
          <w:rFonts w:cs="Arial"/>
          <w:szCs w:val="24"/>
          <w:lang w:val="en-US"/>
        </w:rPr>
        <w:t xml:space="preserve">should repeal the 2015 Rule in its entirety: </w:t>
      </w:r>
    </w:p>
    <w:p w:rsidR="006512A9" w:rsidRDefault="006512A9" w:rsidP="006512A9">
      <w:pPr>
        <w:pStyle w:val="BodyText"/>
        <w:numPr>
          <w:ilvl w:val="0"/>
          <w:numId w:val="25"/>
        </w:numPr>
        <w:rPr>
          <w:rFonts w:cs="Arial"/>
          <w:szCs w:val="24"/>
          <w:lang w:val="en-US"/>
        </w:rPr>
      </w:pPr>
      <w:r>
        <w:rPr>
          <w:rFonts w:cs="Arial"/>
          <w:szCs w:val="24"/>
          <w:lang w:val="en-US"/>
        </w:rPr>
        <w:t>By extending the scope of CWA jurisdiction to various water and landscape features across the country, such as man-made ditches, ephemeral “tributaries” that are rarely wet and not identifiable by field observat</w:t>
      </w:r>
      <w:r w:rsidR="002064AF">
        <w:rPr>
          <w:rFonts w:cs="Arial"/>
          <w:szCs w:val="24"/>
          <w:lang w:val="en-US"/>
        </w:rPr>
        <w:t>ion, and ponds and depressions i</w:t>
      </w:r>
      <w:r>
        <w:rPr>
          <w:rFonts w:cs="Arial"/>
          <w:szCs w:val="24"/>
          <w:lang w:val="en-US"/>
        </w:rPr>
        <w:t>n floodplains that have unclear boundaries, the 2015 Rule effectively reads the term “navigable” out of the statute. Many of these features have little or no relation to what Congress had in mind when it enacted the CWA</w:t>
      </w:r>
      <w:r w:rsidR="002064AF">
        <w:rPr>
          <w:rFonts w:cs="Arial"/>
          <w:szCs w:val="24"/>
          <w:lang w:val="en-US"/>
        </w:rPr>
        <w:t>:</w:t>
      </w:r>
      <w:r>
        <w:rPr>
          <w:rFonts w:cs="Arial"/>
          <w:szCs w:val="24"/>
          <w:lang w:val="en-US"/>
        </w:rPr>
        <w:t xml:space="preserve"> navigable waters in the traditional sense.</w:t>
      </w:r>
    </w:p>
    <w:p w:rsidR="008E51D3" w:rsidRDefault="006512A9" w:rsidP="006512A9">
      <w:pPr>
        <w:pStyle w:val="BodyText"/>
        <w:numPr>
          <w:ilvl w:val="0"/>
          <w:numId w:val="25"/>
        </w:numPr>
        <w:rPr>
          <w:rFonts w:cs="Arial"/>
          <w:szCs w:val="24"/>
          <w:lang w:val="en-US"/>
        </w:rPr>
      </w:pPr>
      <w:r>
        <w:rPr>
          <w:rFonts w:cs="Arial"/>
          <w:szCs w:val="24"/>
          <w:lang w:val="en-US"/>
        </w:rPr>
        <w:t xml:space="preserve">The rule’s broad definitions of terms such as “tributary,” “adjacent,” and “significant nexus” cannot be reconciled with Supreme Court </w:t>
      </w:r>
      <w:r w:rsidR="002064AF">
        <w:rPr>
          <w:rFonts w:cs="Arial"/>
          <w:szCs w:val="24"/>
          <w:lang w:val="en-US"/>
        </w:rPr>
        <w:t>opinions</w:t>
      </w:r>
      <w:r>
        <w:rPr>
          <w:rFonts w:cs="Arial"/>
          <w:szCs w:val="24"/>
          <w:lang w:val="en-US"/>
        </w:rPr>
        <w:t xml:space="preserve">. </w:t>
      </w:r>
      <w:r w:rsidR="00ED4B80">
        <w:rPr>
          <w:rFonts w:cs="Arial"/>
          <w:szCs w:val="24"/>
          <w:lang w:val="en-US"/>
        </w:rPr>
        <w:t xml:space="preserve">Among other things, the rule stretches jurisdiction well beyond what either the plurality or concurring opinions in </w:t>
      </w:r>
      <w:proofErr w:type="spellStart"/>
      <w:r w:rsidR="00ED4B80">
        <w:rPr>
          <w:rFonts w:cs="Arial"/>
          <w:i/>
          <w:szCs w:val="24"/>
          <w:lang w:val="en-US"/>
        </w:rPr>
        <w:t>Rapanos</w:t>
      </w:r>
      <w:proofErr w:type="spellEnd"/>
      <w:r w:rsidR="00ED4B80">
        <w:rPr>
          <w:rFonts w:cs="Arial"/>
          <w:szCs w:val="24"/>
          <w:lang w:val="en-US"/>
        </w:rPr>
        <w:t xml:space="preserve"> would allow and impermissibly revives the theory of jurisdiction (in the Migratory Bird Rule) that the Court rejected in </w:t>
      </w:r>
      <w:proofErr w:type="spellStart"/>
      <w:r w:rsidR="00ED4B80">
        <w:rPr>
          <w:rFonts w:cs="Arial"/>
          <w:i/>
          <w:szCs w:val="24"/>
          <w:lang w:val="en-US"/>
        </w:rPr>
        <w:t>SWANCC</w:t>
      </w:r>
      <w:proofErr w:type="spellEnd"/>
      <w:r w:rsidR="00ED4B80">
        <w:rPr>
          <w:rFonts w:cs="Arial"/>
          <w:szCs w:val="24"/>
          <w:lang w:val="en-US"/>
        </w:rPr>
        <w:t>.</w:t>
      </w:r>
    </w:p>
    <w:p w:rsidR="008E51D3" w:rsidRDefault="008E51D3" w:rsidP="006512A9">
      <w:pPr>
        <w:pStyle w:val="BodyText"/>
        <w:numPr>
          <w:ilvl w:val="0"/>
          <w:numId w:val="25"/>
        </w:numPr>
        <w:rPr>
          <w:rFonts w:cs="Arial"/>
          <w:szCs w:val="24"/>
          <w:lang w:val="en-US"/>
        </w:rPr>
      </w:pPr>
      <w:r>
        <w:rPr>
          <w:rFonts w:cs="Arial"/>
          <w:szCs w:val="24"/>
          <w:lang w:val="en-US"/>
        </w:rPr>
        <w:t xml:space="preserve">Numerous </w:t>
      </w:r>
      <w:r w:rsidR="008B259A">
        <w:rPr>
          <w:rFonts w:cs="Arial"/>
          <w:szCs w:val="24"/>
          <w:lang w:val="en-US"/>
        </w:rPr>
        <w:t>provisions in</w:t>
      </w:r>
      <w:r>
        <w:rPr>
          <w:rFonts w:cs="Arial"/>
          <w:szCs w:val="24"/>
          <w:lang w:val="en-US"/>
        </w:rPr>
        <w:t xml:space="preserve"> the rule lack </w:t>
      </w:r>
      <w:r w:rsidR="004B184F">
        <w:rPr>
          <w:rFonts w:cs="Arial"/>
          <w:szCs w:val="24"/>
          <w:lang w:val="en-US"/>
        </w:rPr>
        <w:t>record</w:t>
      </w:r>
      <w:r w:rsidR="00ED4B80">
        <w:rPr>
          <w:rFonts w:cs="Arial"/>
          <w:szCs w:val="24"/>
          <w:lang w:val="en-US"/>
        </w:rPr>
        <w:t xml:space="preserve"> </w:t>
      </w:r>
      <w:r>
        <w:rPr>
          <w:rFonts w:cs="Arial"/>
          <w:szCs w:val="24"/>
          <w:lang w:val="en-US"/>
        </w:rPr>
        <w:t>support.</w:t>
      </w:r>
      <w:r w:rsidR="00ED4B80">
        <w:rPr>
          <w:rFonts w:cs="Arial"/>
          <w:szCs w:val="24"/>
          <w:lang w:val="en-US"/>
        </w:rPr>
        <w:t xml:space="preserve"> In the final 2015 Rule, the Agencies seemingly plucked arbitrary floodplain and distance cutoffs out of thin air.</w:t>
      </w:r>
    </w:p>
    <w:p w:rsidR="00CE2886" w:rsidRDefault="00ED4B80" w:rsidP="00CE2886">
      <w:pPr>
        <w:pStyle w:val="BodyText"/>
        <w:rPr>
          <w:rFonts w:cs="Arial"/>
          <w:szCs w:val="24"/>
          <w:lang w:val="en-US"/>
        </w:rPr>
      </w:pPr>
      <w:r>
        <w:rPr>
          <w:lang w:val="en-US"/>
        </w:rPr>
        <w:t xml:space="preserve">These are just </w:t>
      </w:r>
      <w:r w:rsidR="008B259A">
        <w:rPr>
          <w:lang w:val="en-US"/>
        </w:rPr>
        <w:t>some</w:t>
      </w:r>
      <w:r>
        <w:rPr>
          <w:lang w:val="en-US"/>
        </w:rPr>
        <w:t xml:space="preserve"> of the </w:t>
      </w:r>
      <w:r w:rsidRPr="007C0EC0">
        <w:rPr>
          <w:lang w:val="en-US"/>
        </w:rPr>
        <w:t xml:space="preserve">reasons </w:t>
      </w:r>
      <w:r>
        <w:rPr>
          <w:lang w:val="en-US"/>
        </w:rPr>
        <w:t>why the Agencies should finalize their proposal to</w:t>
      </w:r>
      <w:r w:rsidRPr="007C0EC0">
        <w:rPr>
          <w:lang w:val="en-US"/>
        </w:rPr>
        <w:t xml:space="preserve"> re</w:t>
      </w:r>
      <w:r>
        <w:rPr>
          <w:lang w:val="en-US"/>
        </w:rPr>
        <w:t xml:space="preserve">peal </w:t>
      </w:r>
      <w:r w:rsidRPr="007C0EC0">
        <w:rPr>
          <w:lang w:val="en-US"/>
        </w:rPr>
        <w:t xml:space="preserve">the </w:t>
      </w:r>
      <w:r>
        <w:rPr>
          <w:lang w:val="en-US"/>
        </w:rPr>
        <w:t xml:space="preserve">2015 Rule. While there are undoubtedly additional justifications for repeal, the reasons discussed </w:t>
      </w:r>
      <w:r w:rsidR="008B259A">
        <w:rPr>
          <w:lang w:val="en-US"/>
        </w:rPr>
        <w:t>in these comments</w:t>
      </w:r>
      <w:r>
        <w:rPr>
          <w:lang w:val="en-US"/>
        </w:rPr>
        <w:t xml:space="preserve"> (and in </w:t>
      </w:r>
      <w:proofErr w:type="spellStart"/>
      <w:r w:rsidR="00283BA5">
        <w:rPr>
          <w:lang w:val="en-US"/>
        </w:rPr>
        <w:t>NAFO’s</w:t>
      </w:r>
      <w:proofErr w:type="spellEnd"/>
      <w:r w:rsidR="00283BA5">
        <w:rPr>
          <w:lang w:val="en-US"/>
        </w:rPr>
        <w:t xml:space="preserve"> </w:t>
      </w:r>
      <w:r>
        <w:rPr>
          <w:lang w:val="en-US"/>
        </w:rPr>
        <w:t xml:space="preserve">prior comments) provide a strong basis to finalize a defensible repeal. </w:t>
      </w:r>
      <w:r w:rsidR="00283BA5">
        <w:rPr>
          <w:rFonts w:cs="Arial"/>
          <w:szCs w:val="24"/>
          <w:lang w:val="en-US"/>
        </w:rPr>
        <w:t xml:space="preserve">We </w:t>
      </w:r>
      <w:r w:rsidR="00CE2886">
        <w:rPr>
          <w:rFonts w:cs="Arial"/>
          <w:szCs w:val="24"/>
          <w:lang w:val="en-US"/>
        </w:rPr>
        <w:t>recognize that a repeal of the 2015</w:t>
      </w:r>
      <w:r w:rsidR="007C0EC0" w:rsidRPr="007C0EC0">
        <w:rPr>
          <w:rFonts w:cs="Arial"/>
          <w:szCs w:val="24"/>
          <w:lang w:val="en-US"/>
        </w:rPr>
        <w:t xml:space="preserve"> Rule </w:t>
      </w:r>
      <w:r w:rsidR="00CE2886">
        <w:rPr>
          <w:rFonts w:cs="Arial"/>
          <w:szCs w:val="24"/>
          <w:lang w:val="en-US"/>
        </w:rPr>
        <w:t xml:space="preserve">effectively </w:t>
      </w:r>
      <w:r w:rsidR="007C0EC0" w:rsidRPr="007C0EC0">
        <w:rPr>
          <w:rFonts w:cs="Arial"/>
          <w:szCs w:val="24"/>
          <w:lang w:val="en-US"/>
        </w:rPr>
        <w:t>reinstate</w:t>
      </w:r>
      <w:r w:rsidR="00CE2886">
        <w:rPr>
          <w:rFonts w:cs="Arial"/>
          <w:szCs w:val="24"/>
          <w:lang w:val="en-US"/>
        </w:rPr>
        <w:t>s</w:t>
      </w:r>
      <w:r w:rsidR="007C0EC0" w:rsidRPr="007C0EC0">
        <w:rPr>
          <w:rFonts w:cs="Arial"/>
          <w:szCs w:val="24"/>
          <w:lang w:val="en-US"/>
        </w:rPr>
        <w:t xml:space="preserve"> the</w:t>
      </w:r>
      <w:r w:rsidR="00CE2886">
        <w:rPr>
          <w:rFonts w:cs="Arial"/>
          <w:szCs w:val="24"/>
          <w:lang w:val="en-US"/>
        </w:rPr>
        <w:t xml:space="preserve"> prior</w:t>
      </w:r>
      <w:r w:rsidR="007C0EC0" w:rsidRPr="007C0EC0">
        <w:rPr>
          <w:rFonts w:cs="Arial"/>
          <w:szCs w:val="24"/>
          <w:lang w:val="en-US"/>
        </w:rPr>
        <w:t xml:space="preserve"> </w:t>
      </w:r>
      <w:r w:rsidR="00CE2886">
        <w:rPr>
          <w:rFonts w:cs="Arial"/>
          <w:szCs w:val="24"/>
          <w:lang w:val="en-US"/>
        </w:rPr>
        <w:t xml:space="preserve">regulations. While those regulations are not ideal, they are better than the 2015 Rule. Nonetheless, </w:t>
      </w:r>
      <w:r w:rsidR="00283BA5">
        <w:rPr>
          <w:rFonts w:cs="Arial"/>
          <w:szCs w:val="24"/>
          <w:lang w:val="en-US"/>
        </w:rPr>
        <w:t xml:space="preserve">the undersigned organizations </w:t>
      </w:r>
      <w:r w:rsidR="00CE2886">
        <w:rPr>
          <w:rFonts w:cs="Arial"/>
          <w:szCs w:val="24"/>
          <w:lang w:val="en-US"/>
        </w:rPr>
        <w:t xml:space="preserve">urge the Agencies to continue to work on an improved definition of WOTUS that respects </w:t>
      </w:r>
      <w:r w:rsidR="007C0EC0" w:rsidRPr="007C0EC0">
        <w:rPr>
          <w:rFonts w:cs="Arial"/>
          <w:szCs w:val="24"/>
          <w:lang w:val="en-US"/>
        </w:rPr>
        <w:t>the limits Congress placed on the CWA’s scope</w:t>
      </w:r>
      <w:r w:rsidR="00CE2886">
        <w:rPr>
          <w:rFonts w:cs="Arial"/>
          <w:szCs w:val="24"/>
          <w:lang w:val="en-US"/>
        </w:rPr>
        <w:t xml:space="preserve">, while </w:t>
      </w:r>
      <w:r w:rsidR="007C0EC0" w:rsidRPr="007C0EC0">
        <w:rPr>
          <w:rFonts w:cs="Arial"/>
          <w:szCs w:val="24"/>
          <w:lang w:val="en-US"/>
        </w:rPr>
        <w:t>tak</w:t>
      </w:r>
      <w:r w:rsidR="00CE2886">
        <w:rPr>
          <w:rFonts w:cs="Arial"/>
          <w:szCs w:val="24"/>
          <w:lang w:val="en-US"/>
        </w:rPr>
        <w:t>ing into</w:t>
      </w:r>
      <w:r w:rsidR="007C0EC0" w:rsidRPr="007C0EC0">
        <w:rPr>
          <w:rFonts w:cs="Arial"/>
          <w:szCs w:val="24"/>
          <w:lang w:val="en-US"/>
        </w:rPr>
        <w:t xml:space="preserve"> account the realities facing the </w:t>
      </w:r>
      <w:r w:rsidR="00CE2886">
        <w:rPr>
          <w:rFonts w:cs="Arial"/>
          <w:szCs w:val="24"/>
          <w:lang w:val="en-US"/>
        </w:rPr>
        <w:t xml:space="preserve">forestry industry and landowners nationwide. </w:t>
      </w:r>
    </w:p>
    <w:p w:rsidR="0062751E" w:rsidRDefault="0062751E" w:rsidP="00CE2886">
      <w:pPr>
        <w:pStyle w:val="BodyText"/>
        <w:rPr>
          <w:rFonts w:cs="Arial"/>
          <w:szCs w:val="24"/>
          <w:lang w:val="en-US"/>
        </w:rPr>
      </w:pPr>
    </w:p>
    <w:p w:rsidR="007C0EC0" w:rsidRPr="008B259A" w:rsidRDefault="007C0EC0" w:rsidP="008B259A">
      <w:pPr>
        <w:pStyle w:val="BodyText"/>
        <w:keepNext/>
        <w:ind w:firstLine="0"/>
        <w:rPr>
          <w:lang w:val="en-US"/>
        </w:rPr>
      </w:pPr>
      <w:r w:rsidRPr="007A09A2">
        <w:rPr>
          <w:rFonts w:cs="Arial"/>
          <w:b/>
          <w:szCs w:val="24"/>
          <w:u w:val="single"/>
          <w:lang w:val="en-US"/>
        </w:rPr>
        <w:lastRenderedPageBreak/>
        <w:t>Detailed Comments</w:t>
      </w:r>
      <w:r w:rsidR="008B259A">
        <w:rPr>
          <w:rFonts w:cs="Arial"/>
          <w:b/>
          <w:szCs w:val="24"/>
          <w:u w:val="single"/>
          <w:lang w:val="en-US"/>
        </w:rPr>
        <w:t xml:space="preserve">: </w:t>
      </w:r>
      <w:r w:rsidR="003D488B" w:rsidRPr="008B259A">
        <w:rPr>
          <w:b/>
          <w:u w:val="single"/>
          <w:lang w:val="en-US"/>
        </w:rPr>
        <w:t>The 2015 Rule Exceeds the Agencies’ CWA Authority and Lacks Adequate Scientific Support.</w:t>
      </w:r>
    </w:p>
    <w:p w:rsidR="00F91124" w:rsidRDefault="00F16898" w:rsidP="00F16898">
      <w:pPr>
        <w:pStyle w:val="BodyText"/>
        <w:rPr>
          <w:lang w:val="en-US"/>
        </w:rPr>
      </w:pPr>
      <w:bookmarkStart w:id="0" w:name="_Toc465662678"/>
      <w:r w:rsidRPr="00F16898">
        <w:rPr>
          <w:lang w:val="en-US"/>
        </w:rPr>
        <w:t xml:space="preserve">In the supplemental notice, the Agencies </w:t>
      </w:r>
      <w:r w:rsidR="00194648">
        <w:rPr>
          <w:lang w:val="en-US"/>
        </w:rPr>
        <w:t>expressed</w:t>
      </w:r>
      <w:r w:rsidR="005327D0">
        <w:rPr>
          <w:lang w:val="en-US"/>
        </w:rPr>
        <w:t xml:space="preserve"> concern about whether the 2015 Rule exceeded their CWA authority</w:t>
      </w:r>
      <w:r w:rsidR="00F91124">
        <w:rPr>
          <w:lang w:val="en-US"/>
        </w:rPr>
        <w:t>:</w:t>
      </w:r>
    </w:p>
    <w:p w:rsidR="00F16898" w:rsidRDefault="00F91124" w:rsidP="00F91124">
      <w:pPr>
        <w:pStyle w:val="BodyText"/>
        <w:ind w:left="720" w:right="720" w:firstLine="0"/>
        <w:jc w:val="both"/>
        <w:rPr>
          <w:lang w:val="en-US"/>
        </w:rPr>
      </w:pPr>
      <w:r>
        <w:rPr>
          <w:lang w:val="en-US"/>
        </w:rPr>
        <w:t>[A]</w:t>
      </w:r>
      <w:r w:rsidR="008B259A">
        <w:rPr>
          <w:lang w:val="en-US"/>
        </w:rPr>
        <w:t xml:space="preserve">s a result of </w:t>
      </w:r>
      <w:r>
        <w:rPr>
          <w:lang w:val="en-US"/>
        </w:rPr>
        <w:t>the</w:t>
      </w:r>
      <w:r w:rsidR="008B259A">
        <w:rPr>
          <w:lang w:val="en-US"/>
        </w:rPr>
        <w:t xml:space="preserve"> agencies’</w:t>
      </w:r>
      <w:r>
        <w:rPr>
          <w:lang w:val="en-US"/>
        </w:rPr>
        <w:t xml:space="preserve"> review and reconsideration of their statutory authority and in light of court rulings against the 2015 Rule that have suggested that the agencies’ interpretation of the ‘significant nexus’ standard . . . does not comport with and accurately implement the limits on jurisdiction reflected in the CWA and decisions of the Supreme Court, the agencies are also concerned that the 2015 Rule lacks sufficient statutory basis.</w:t>
      </w:r>
      <w:r>
        <w:rPr>
          <w:rStyle w:val="FootnoteReference"/>
          <w:lang w:val="en-US"/>
        </w:rPr>
        <w:footnoteReference w:id="7"/>
      </w:r>
    </w:p>
    <w:p w:rsidR="00F91124" w:rsidRDefault="005327D0" w:rsidP="00F16898">
      <w:pPr>
        <w:pStyle w:val="BodyText"/>
        <w:rPr>
          <w:lang w:val="en-US"/>
        </w:rPr>
      </w:pPr>
      <w:r>
        <w:rPr>
          <w:lang w:val="en-US"/>
        </w:rPr>
        <w:t xml:space="preserve">The Agencies </w:t>
      </w:r>
      <w:r w:rsidR="008B259A">
        <w:rPr>
          <w:lang w:val="en-US"/>
        </w:rPr>
        <w:t>then</w:t>
      </w:r>
      <w:r>
        <w:rPr>
          <w:lang w:val="en-US"/>
        </w:rPr>
        <w:t xml:space="preserve"> “</w:t>
      </w:r>
      <w:proofErr w:type="spellStart"/>
      <w:r>
        <w:rPr>
          <w:lang w:val="en-US"/>
        </w:rPr>
        <w:t>propos</w:t>
      </w:r>
      <w:proofErr w:type="spellEnd"/>
      <w:r>
        <w:rPr>
          <w:lang w:val="en-US"/>
        </w:rPr>
        <w:t>[e</w:t>
      </w:r>
      <w:r w:rsidR="008B259A">
        <w:rPr>
          <w:lang w:val="en-US"/>
        </w:rPr>
        <w:t>d</w:t>
      </w:r>
      <w:r>
        <w:rPr>
          <w:lang w:val="en-US"/>
        </w:rPr>
        <w:t>] to conclude, in the alternative that, at a minimum, the interpretation of the statute adopted in the 2015 Rule is not compelled, and a different policy balance can be appropriate.”</w:t>
      </w:r>
      <w:r>
        <w:rPr>
          <w:rStyle w:val="FootnoteReference"/>
          <w:lang w:val="en-US"/>
        </w:rPr>
        <w:footnoteReference w:id="8"/>
      </w:r>
    </w:p>
    <w:p w:rsidR="005327D0" w:rsidRPr="00517C81" w:rsidRDefault="005327D0" w:rsidP="00F16898">
      <w:pPr>
        <w:pStyle w:val="BodyText"/>
        <w:rPr>
          <w:lang w:val="en-US"/>
        </w:rPr>
      </w:pPr>
      <w:r>
        <w:rPr>
          <w:lang w:val="en-US"/>
        </w:rPr>
        <w:t>For the reasons set forth below, the Agencies should</w:t>
      </w:r>
      <w:r w:rsidR="00517C81">
        <w:rPr>
          <w:lang w:val="en-US"/>
        </w:rPr>
        <w:t xml:space="preserve"> definitively</w:t>
      </w:r>
      <w:r>
        <w:rPr>
          <w:lang w:val="en-US"/>
        </w:rPr>
        <w:t xml:space="preserve"> conclude that the 2015 Rule exceeded their statutory authority and </w:t>
      </w:r>
      <w:r w:rsidR="00517C81">
        <w:rPr>
          <w:lang w:val="en-US"/>
        </w:rPr>
        <w:t xml:space="preserve">is contrary to Supreme Court precedent in numerous respects. </w:t>
      </w:r>
      <w:r w:rsidR="00E801A9">
        <w:rPr>
          <w:lang w:val="en-US"/>
        </w:rPr>
        <w:t>M</w:t>
      </w:r>
      <w:r w:rsidR="00517C81">
        <w:rPr>
          <w:lang w:val="en-US"/>
        </w:rPr>
        <w:t>erely concluding that the 2015 Rule was not compelled by the statute</w:t>
      </w:r>
      <w:r w:rsidR="00E801A9">
        <w:rPr>
          <w:lang w:val="en-US"/>
        </w:rPr>
        <w:t xml:space="preserve"> does not go far enough.</w:t>
      </w:r>
      <w:r w:rsidR="00517C81">
        <w:rPr>
          <w:lang w:val="en-US"/>
        </w:rPr>
        <w:t xml:space="preserve"> </w:t>
      </w:r>
      <w:r w:rsidR="00E801A9">
        <w:rPr>
          <w:lang w:val="en-US"/>
        </w:rPr>
        <w:t xml:space="preserve">Such a conclusion improperly ignores </w:t>
      </w:r>
      <w:r w:rsidR="00517C81">
        <w:rPr>
          <w:lang w:val="en-US"/>
        </w:rPr>
        <w:t>the many reasons</w:t>
      </w:r>
      <w:r w:rsidR="00E801A9">
        <w:rPr>
          <w:rFonts w:cs="Arial"/>
          <w:lang w:val="en-US"/>
        </w:rPr>
        <w:t xml:space="preserve"> </w:t>
      </w:r>
      <w:r w:rsidR="00517C81">
        <w:rPr>
          <w:lang w:val="en-US"/>
        </w:rPr>
        <w:t>why the 2015 Rule was unlawful.</w:t>
      </w:r>
    </w:p>
    <w:p w:rsidR="003D488B" w:rsidRPr="003D488B" w:rsidRDefault="003D488B" w:rsidP="008B259A">
      <w:pPr>
        <w:pStyle w:val="Heading1"/>
      </w:pPr>
      <w:r w:rsidRPr="003D488B">
        <w:t xml:space="preserve">The Rule </w:t>
      </w:r>
      <w:r w:rsidR="00D10E7E">
        <w:t>fails to give any effect to the statutory term</w:t>
      </w:r>
      <w:r w:rsidRPr="003D488B">
        <w:t xml:space="preserve"> “navigable</w:t>
      </w:r>
      <w:r w:rsidR="00D10E7E">
        <w:t>.</w:t>
      </w:r>
      <w:r w:rsidRPr="003D488B">
        <w:t xml:space="preserve">” </w:t>
      </w:r>
      <w:bookmarkEnd w:id="0"/>
    </w:p>
    <w:p w:rsidR="003D488B" w:rsidRPr="003D488B" w:rsidRDefault="00525717" w:rsidP="003D488B">
      <w:pPr>
        <w:pStyle w:val="BodyText"/>
        <w:rPr>
          <w:rFonts w:cs="Arial"/>
          <w:szCs w:val="24"/>
          <w:lang w:val="en-US"/>
        </w:rPr>
      </w:pPr>
      <w:r>
        <w:rPr>
          <w:rFonts w:cs="Arial"/>
          <w:szCs w:val="24"/>
          <w:lang w:val="en-US"/>
        </w:rPr>
        <w:t xml:space="preserve">The term “navigable” in the CWA bears independent significance, as the Supreme Court has long recognized. </w:t>
      </w:r>
      <w:r w:rsidR="00D10E7E">
        <w:rPr>
          <w:rFonts w:cs="Arial"/>
          <w:szCs w:val="24"/>
          <w:lang w:val="en-US"/>
        </w:rPr>
        <w:t xml:space="preserve">In </w:t>
      </w:r>
      <w:proofErr w:type="spellStart"/>
      <w:r w:rsidR="00D10E7E">
        <w:rPr>
          <w:rFonts w:cs="Arial"/>
          <w:i/>
          <w:szCs w:val="24"/>
          <w:lang w:val="en-US"/>
        </w:rPr>
        <w:t>SWANCC</w:t>
      </w:r>
      <w:proofErr w:type="spellEnd"/>
      <w:r w:rsidR="00D10E7E">
        <w:rPr>
          <w:rFonts w:cs="Arial"/>
          <w:szCs w:val="24"/>
          <w:lang w:val="en-US"/>
        </w:rPr>
        <w:t xml:space="preserve">, the Supreme Court </w:t>
      </w:r>
      <w:r w:rsidR="00E801A9">
        <w:rPr>
          <w:rFonts w:cs="Arial"/>
          <w:szCs w:val="24"/>
          <w:lang w:val="en-US"/>
        </w:rPr>
        <w:t>explained</w:t>
      </w:r>
      <w:r w:rsidR="00D10E7E">
        <w:rPr>
          <w:rFonts w:cs="Arial"/>
          <w:szCs w:val="24"/>
          <w:lang w:val="en-US"/>
        </w:rPr>
        <w:t xml:space="preserve"> that the text of the CWA would not allow it “to hold that the jurisdiction of the Corps extends to ponds that are </w:t>
      </w:r>
      <w:r w:rsidR="00D10E7E">
        <w:rPr>
          <w:rFonts w:cs="Arial"/>
          <w:i/>
          <w:szCs w:val="24"/>
          <w:lang w:val="en-US"/>
        </w:rPr>
        <w:t>not</w:t>
      </w:r>
      <w:r w:rsidR="00D10E7E">
        <w:rPr>
          <w:rFonts w:cs="Arial"/>
          <w:szCs w:val="24"/>
          <w:lang w:val="en-US"/>
        </w:rPr>
        <w:t xml:space="preserve"> adjacent to open water.”</w:t>
      </w:r>
      <w:r w:rsidR="00D10E7E">
        <w:rPr>
          <w:rStyle w:val="FootnoteReference"/>
          <w:rFonts w:cs="Arial"/>
          <w:szCs w:val="24"/>
          <w:lang w:val="en-US"/>
        </w:rPr>
        <w:footnoteReference w:id="9"/>
      </w:r>
      <w:r w:rsidR="00D10E7E">
        <w:rPr>
          <w:rFonts w:cs="Arial"/>
          <w:szCs w:val="24"/>
          <w:lang w:val="en-US"/>
        </w:rPr>
        <w:t xml:space="preserve"> T</w:t>
      </w:r>
      <w:r w:rsidR="003D488B" w:rsidRPr="003D488B">
        <w:rPr>
          <w:rFonts w:cs="Arial"/>
          <w:szCs w:val="24"/>
          <w:lang w:val="en-US"/>
        </w:rPr>
        <w:t xml:space="preserve">he Court </w:t>
      </w:r>
      <w:r w:rsidR="009B117A">
        <w:rPr>
          <w:rFonts w:cs="Arial"/>
          <w:szCs w:val="24"/>
          <w:lang w:val="en-US"/>
        </w:rPr>
        <w:t xml:space="preserve">rejected the Corps’ invitation to read the </w:t>
      </w:r>
      <w:r w:rsidR="003D488B" w:rsidRPr="003D488B">
        <w:rPr>
          <w:rFonts w:cs="Arial"/>
          <w:szCs w:val="24"/>
          <w:lang w:val="en-US"/>
        </w:rPr>
        <w:t xml:space="preserve">term </w:t>
      </w:r>
      <w:r w:rsidR="009B117A">
        <w:rPr>
          <w:rFonts w:cs="Arial"/>
          <w:szCs w:val="24"/>
          <w:lang w:val="en-US"/>
        </w:rPr>
        <w:t>“</w:t>
      </w:r>
      <w:r w:rsidR="003D488B" w:rsidRPr="003D488B">
        <w:rPr>
          <w:rFonts w:cs="Arial"/>
          <w:szCs w:val="24"/>
          <w:lang w:val="en-US"/>
        </w:rPr>
        <w:t>navigable</w:t>
      </w:r>
      <w:r w:rsidR="009B117A">
        <w:rPr>
          <w:rFonts w:cs="Arial"/>
          <w:szCs w:val="24"/>
          <w:lang w:val="en-US"/>
        </w:rPr>
        <w:t xml:space="preserve">” </w:t>
      </w:r>
      <w:r w:rsidR="003D488B" w:rsidRPr="003D488B">
        <w:rPr>
          <w:rFonts w:cs="Arial"/>
          <w:szCs w:val="24"/>
          <w:lang w:val="en-US"/>
        </w:rPr>
        <w:t>out of the statute</w:t>
      </w:r>
      <w:r w:rsidR="009B117A">
        <w:rPr>
          <w:rFonts w:cs="Arial"/>
          <w:szCs w:val="24"/>
          <w:lang w:val="en-US"/>
        </w:rPr>
        <w:t>, and it instead emphasized that t</w:t>
      </w:r>
      <w:r w:rsidR="003D488B" w:rsidRPr="003D488B">
        <w:rPr>
          <w:rFonts w:cs="Arial"/>
          <w:szCs w:val="24"/>
          <w:lang w:val="en-US"/>
        </w:rPr>
        <w:t>h</w:t>
      </w:r>
      <w:r w:rsidR="009B117A">
        <w:rPr>
          <w:rFonts w:cs="Arial"/>
          <w:szCs w:val="24"/>
          <w:lang w:val="en-US"/>
        </w:rPr>
        <w:t>e</w:t>
      </w:r>
      <w:r w:rsidR="003D488B" w:rsidRPr="003D488B">
        <w:rPr>
          <w:rFonts w:cs="Arial"/>
          <w:szCs w:val="24"/>
          <w:lang w:val="en-US"/>
        </w:rPr>
        <w:t xml:space="preserve"> </w:t>
      </w:r>
      <w:r w:rsidR="009B117A">
        <w:rPr>
          <w:rFonts w:cs="Arial"/>
          <w:szCs w:val="24"/>
          <w:lang w:val="en-US"/>
        </w:rPr>
        <w:t xml:space="preserve">term “navigable” </w:t>
      </w:r>
      <w:r w:rsidR="003D488B" w:rsidRPr="003D488B">
        <w:rPr>
          <w:rFonts w:cs="Arial"/>
          <w:szCs w:val="24"/>
          <w:lang w:val="en-US"/>
        </w:rPr>
        <w:t>“has at least the import of showing us what Congress had in mind as its authority for enacting the CWA: its traditional jurisdiction over waters that were or had been navigable in fact or which could reasonably be so made.”</w:t>
      </w:r>
      <w:r w:rsidR="003D488B" w:rsidRPr="003D488B">
        <w:rPr>
          <w:rStyle w:val="FootnoteReference"/>
          <w:rFonts w:cs="Arial"/>
          <w:szCs w:val="24"/>
        </w:rPr>
        <w:footnoteReference w:id="10"/>
      </w:r>
      <w:r w:rsidR="003D488B" w:rsidRPr="003D488B">
        <w:rPr>
          <w:rFonts w:cs="Arial"/>
          <w:szCs w:val="24"/>
          <w:lang w:val="en-US"/>
        </w:rPr>
        <w:t xml:space="preserve"> </w:t>
      </w:r>
      <w:r>
        <w:rPr>
          <w:rFonts w:cs="Arial"/>
          <w:szCs w:val="24"/>
          <w:lang w:val="en-US"/>
        </w:rPr>
        <w:t xml:space="preserve">Less than a decade later, </w:t>
      </w:r>
      <w:r w:rsidR="003D488B" w:rsidRPr="003D488B">
        <w:rPr>
          <w:rFonts w:cs="Arial"/>
          <w:szCs w:val="24"/>
          <w:lang w:val="en-US"/>
        </w:rPr>
        <w:t>both the plurality opinion a</w:t>
      </w:r>
      <w:r>
        <w:rPr>
          <w:rFonts w:cs="Arial"/>
          <w:szCs w:val="24"/>
          <w:lang w:val="en-US"/>
        </w:rPr>
        <w:t xml:space="preserve">nd Justice Kennedy’s concurrence in </w:t>
      </w:r>
      <w:proofErr w:type="spellStart"/>
      <w:r>
        <w:rPr>
          <w:rFonts w:cs="Arial"/>
          <w:i/>
          <w:szCs w:val="24"/>
          <w:lang w:val="en-US"/>
        </w:rPr>
        <w:t>Rapanos</w:t>
      </w:r>
      <w:proofErr w:type="spellEnd"/>
      <w:r w:rsidR="003D488B" w:rsidRPr="003D488B">
        <w:rPr>
          <w:rFonts w:cs="Arial"/>
          <w:szCs w:val="24"/>
          <w:lang w:val="en-US"/>
        </w:rPr>
        <w:t xml:space="preserve"> </w:t>
      </w:r>
      <w:r w:rsidR="00E801A9">
        <w:rPr>
          <w:rFonts w:cs="Arial"/>
          <w:szCs w:val="24"/>
          <w:lang w:val="en-US"/>
        </w:rPr>
        <w:t>reinforced</w:t>
      </w:r>
      <w:r w:rsidR="003D488B" w:rsidRPr="003D488B">
        <w:rPr>
          <w:rFonts w:cs="Arial"/>
          <w:szCs w:val="24"/>
          <w:lang w:val="en-US"/>
        </w:rPr>
        <w:t xml:space="preserve"> the need to give the term “navigable” some effect.</w:t>
      </w:r>
      <w:r w:rsidR="003D488B" w:rsidRPr="003D488B">
        <w:rPr>
          <w:rStyle w:val="FootnoteReference"/>
          <w:rFonts w:cs="Arial"/>
          <w:szCs w:val="24"/>
        </w:rPr>
        <w:footnoteReference w:id="11"/>
      </w:r>
      <w:r w:rsidR="003D488B" w:rsidRPr="003D488B">
        <w:rPr>
          <w:rFonts w:cs="Arial"/>
          <w:i/>
          <w:szCs w:val="24"/>
          <w:lang w:val="en-US"/>
        </w:rPr>
        <w:t xml:space="preserve"> </w:t>
      </w:r>
      <w:r w:rsidR="003D488B" w:rsidRPr="003D488B">
        <w:rPr>
          <w:rFonts w:cs="Arial"/>
          <w:szCs w:val="24"/>
          <w:lang w:val="en-US"/>
        </w:rPr>
        <w:t xml:space="preserve">Justice Kennedy, </w:t>
      </w:r>
      <w:r>
        <w:rPr>
          <w:rFonts w:cs="Arial"/>
          <w:szCs w:val="24"/>
          <w:lang w:val="en-US"/>
        </w:rPr>
        <w:t>for instance</w:t>
      </w:r>
      <w:r w:rsidR="003D488B" w:rsidRPr="003D488B">
        <w:rPr>
          <w:rFonts w:cs="Arial"/>
          <w:szCs w:val="24"/>
          <w:lang w:val="en-US"/>
        </w:rPr>
        <w:t xml:space="preserve">, stated that “the word ‘navigable’” must “be given some importance,” and he emphasized that </w:t>
      </w:r>
      <w:r w:rsidR="009B117A">
        <w:rPr>
          <w:rFonts w:cs="Arial"/>
          <w:szCs w:val="24"/>
          <w:lang w:val="en-US"/>
        </w:rPr>
        <w:t>“the Court has held that the statute’s language invokes Congress’ traditional authority over waters navigable in fact or susceptible of being made so.”</w:t>
      </w:r>
      <w:r w:rsidR="009B117A">
        <w:rPr>
          <w:rStyle w:val="FootnoteReference"/>
          <w:rFonts w:cs="Arial"/>
          <w:szCs w:val="24"/>
          <w:lang w:val="en-US"/>
        </w:rPr>
        <w:footnoteReference w:id="12"/>
      </w:r>
      <w:r w:rsidR="003D488B" w:rsidRPr="003D488B">
        <w:rPr>
          <w:rFonts w:cs="Arial"/>
          <w:szCs w:val="24"/>
          <w:lang w:val="en-US"/>
        </w:rPr>
        <w:t xml:space="preserve"> </w:t>
      </w:r>
    </w:p>
    <w:p w:rsidR="003D488B" w:rsidRPr="003D488B" w:rsidRDefault="003D488B" w:rsidP="003D488B">
      <w:pPr>
        <w:pStyle w:val="BodyText"/>
        <w:rPr>
          <w:rFonts w:cs="Arial"/>
          <w:szCs w:val="24"/>
          <w:lang w:val="en-US"/>
        </w:rPr>
      </w:pPr>
      <w:r w:rsidRPr="003D488B">
        <w:rPr>
          <w:rFonts w:cs="Arial"/>
          <w:szCs w:val="24"/>
          <w:lang w:val="en-US"/>
        </w:rPr>
        <w:lastRenderedPageBreak/>
        <w:t xml:space="preserve">The 2015 Rule </w:t>
      </w:r>
      <w:r w:rsidR="00B8222A">
        <w:rPr>
          <w:rFonts w:cs="Arial"/>
          <w:szCs w:val="24"/>
          <w:lang w:val="en-US"/>
        </w:rPr>
        <w:t>nevertheless fails to give any effect to the term “navigable” in the statute. For example, the rule would extend</w:t>
      </w:r>
      <w:r w:rsidRPr="003D488B">
        <w:rPr>
          <w:rFonts w:cs="Arial"/>
          <w:szCs w:val="24"/>
          <w:lang w:val="en-US"/>
        </w:rPr>
        <w:t xml:space="preserve"> federal jurisdiction </w:t>
      </w:r>
      <w:r w:rsidR="00B8222A">
        <w:rPr>
          <w:rFonts w:cs="Arial"/>
          <w:szCs w:val="24"/>
          <w:lang w:val="en-US"/>
        </w:rPr>
        <w:t>to countless ephemeral features that are far removed from navigable waters</w:t>
      </w:r>
      <w:r w:rsidR="00E801A9">
        <w:rPr>
          <w:rFonts w:cs="Arial"/>
          <w:szCs w:val="24"/>
          <w:lang w:val="en-US"/>
        </w:rPr>
        <w:t xml:space="preserve"> in the traditional sense</w:t>
      </w:r>
      <w:r w:rsidR="00590344">
        <w:rPr>
          <w:rFonts w:cs="Arial"/>
          <w:szCs w:val="24"/>
          <w:lang w:val="en-US"/>
        </w:rPr>
        <w:t xml:space="preserve">. Not only that, it goes even further to extend jurisdiction to </w:t>
      </w:r>
      <w:r w:rsidR="00590344" w:rsidRPr="00590344">
        <w:rPr>
          <w:rFonts w:cs="Arial"/>
          <w:i/>
          <w:szCs w:val="24"/>
          <w:lang w:val="en-US"/>
        </w:rPr>
        <w:t>i</w:t>
      </w:r>
      <w:r w:rsidRPr="00590344">
        <w:rPr>
          <w:rFonts w:cs="Arial"/>
          <w:i/>
          <w:szCs w:val="24"/>
          <w:lang w:val="en-US"/>
        </w:rPr>
        <w:t>solated</w:t>
      </w:r>
      <w:r w:rsidRPr="003D488B">
        <w:rPr>
          <w:rFonts w:cs="Arial"/>
          <w:szCs w:val="24"/>
          <w:lang w:val="en-US"/>
        </w:rPr>
        <w:t xml:space="preserve"> water features </w:t>
      </w:r>
      <w:r w:rsidR="00590344">
        <w:rPr>
          <w:rFonts w:cs="Arial"/>
          <w:szCs w:val="24"/>
          <w:lang w:val="en-US"/>
        </w:rPr>
        <w:t>merely because they</w:t>
      </w:r>
      <w:r w:rsidR="00B8222A">
        <w:rPr>
          <w:rFonts w:cs="Arial"/>
          <w:szCs w:val="24"/>
          <w:lang w:val="en-US"/>
        </w:rPr>
        <w:t xml:space="preserve"> are within a certain distance from th</w:t>
      </w:r>
      <w:r w:rsidR="00590344">
        <w:rPr>
          <w:rFonts w:cs="Arial"/>
          <w:szCs w:val="24"/>
          <w:lang w:val="en-US"/>
        </w:rPr>
        <w:t>os</w:t>
      </w:r>
      <w:r w:rsidR="00B8222A">
        <w:rPr>
          <w:rFonts w:cs="Arial"/>
          <w:szCs w:val="24"/>
          <w:lang w:val="en-US"/>
        </w:rPr>
        <w:t xml:space="preserve">e ephemeral “tributaries.” None of these water features are fairly characterized as </w:t>
      </w:r>
      <w:r w:rsidRPr="003D488B">
        <w:rPr>
          <w:rFonts w:cs="Arial"/>
          <w:szCs w:val="24"/>
          <w:lang w:val="en-US"/>
        </w:rPr>
        <w:t xml:space="preserve">navigable </w:t>
      </w:r>
      <w:r w:rsidR="00B8222A">
        <w:rPr>
          <w:rFonts w:cs="Arial"/>
          <w:szCs w:val="24"/>
          <w:lang w:val="en-US"/>
        </w:rPr>
        <w:t xml:space="preserve">nor could they </w:t>
      </w:r>
      <w:r w:rsidRPr="003D488B">
        <w:rPr>
          <w:rFonts w:cs="Arial"/>
          <w:szCs w:val="24"/>
          <w:lang w:val="en-US"/>
        </w:rPr>
        <w:t xml:space="preserve">reasonably be so made. </w:t>
      </w:r>
      <w:r w:rsidR="00276018">
        <w:rPr>
          <w:rFonts w:cs="Arial"/>
          <w:szCs w:val="24"/>
          <w:lang w:val="en-US"/>
        </w:rPr>
        <w:t>M</w:t>
      </w:r>
      <w:r w:rsidR="00B8222A">
        <w:rPr>
          <w:rFonts w:cs="Arial"/>
          <w:szCs w:val="24"/>
          <w:lang w:val="en-US"/>
        </w:rPr>
        <w:t xml:space="preserve">any of these features </w:t>
      </w:r>
      <w:r w:rsidRPr="003D488B">
        <w:rPr>
          <w:rFonts w:cs="Arial"/>
          <w:szCs w:val="24"/>
          <w:lang w:val="en-US"/>
        </w:rPr>
        <w:t xml:space="preserve">bear </w:t>
      </w:r>
      <w:r w:rsidR="00B8222A">
        <w:rPr>
          <w:rFonts w:cs="Arial"/>
          <w:szCs w:val="24"/>
          <w:lang w:val="en-US"/>
        </w:rPr>
        <w:t>no</w:t>
      </w:r>
      <w:r w:rsidRPr="003D488B">
        <w:rPr>
          <w:rFonts w:cs="Arial"/>
          <w:szCs w:val="24"/>
          <w:lang w:val="en-US"/>
        </w:rPr>
        <w:t xml:space="preserve"> relationship to any navigable water and do not abut or contribute flow to any navigable water. </w:t>
      </w:r>
      <w:r w:rsidR="00207650">
        <w:rPr>
          <w:rFonts w:cs="Arial"/>
          <w:szCs w:val="24"/>
          <w:lang w:val="en-US"/>
        </w:rPr>
        <w:t xml:space="preserve">By asserting jurisdiction over these types of features, the 2015 Rule unlawfully </w:t>
      </w:r>
      <w:r w:rsidRPr="003D488B">
        <w:rPr>
          <w:rFonts w:cs="Arial"/>
          <w:szCs w:val="24"/>
          <w:lang w:val="en-US"/>
        </w:rPr>
        <w:t xml:space="preserve">reads the term “navigable” out of the CWA. </w:t>
      </w:r>
    </w:p>
    <w:p w:rsidR="003D488B" w:rsidRPr="003D488B" w:rsidRDefault="003D488B" w:rsidP="008B259A">
      <w:pPr>
        <w:pStyle w:val="Heading1"/>
      </w:pPr>
      <w:bookmarkStart w:id="1" w:name="_Toc460666221"/>
      <w:bookmarkStart w:id="2" w:name="_Toc465662679"/>
      <w:r w:rsidRPr="003D488B">
        <w:t xml:space="preserve">The </w:t>
      </w:r>
      <w:bookmarkEnd w:id="1"/>
      <w:r w:rsidRPr="003D488B">
        <w:t xml:space="preserve">2015 Rule’s definition of “tributaries” </w:t>
      </w:r>
      <w:bookmarkEnd w:id="2"/>
      <w:r w:rsidR="00276018">
        <w:t xml:space="preserve">is contrary to law and lacks </w:t>
      </w:r>
      <w:r w:rsidRPr="003D488B">
        <w:t>scien</w:t>
      </w:r>
      <w:r w:rsidR="00276018">
        <w:t>tific support</w:t>
      </w:r>
      <w:r w:rsidRPr="003D488B">
        <w:t>.</w:t>
      </w:r>
    </w:p>
    <w:p w:rsidR="003D488B" w:rsidRPr="003D488B" w:rsidRDefault="003D488B" w:rsidP="003D488B">
      <w:pPr>
        <w:pStyle w:val="BodyText"/>
        <w:rPr>
          <w:rFonts w:cs="Arial"/>
          <w:szCs w:val="24"/>
          <w:lang w:val="en-US"/>
        </w:rPr>
      </w:pPr>
      <w:r w:rsidRPr="003D488B">
        <w:rPr>
          <w:rFonts w:cs="Arial"/>
          <w:szCs w:val="24"/>
          <w:lang w:val="en-US"/>
        </w:rPr>
        <w:t xml:space="preserve">The </w:t>
      </w:r>
      <w:r w:rsidR="00276018">
        <w:rPr>
          <w:rFonts w:cs="Arial"/>
          <w:szCs w:val="24"/>
          <w:lang w:val="en-US"/>
        </w:rPr>
        <w:t xml:space="preserve">Agencies </w:t>
      </w:r>
      <w:r w:rsidR="00590344">
        <w:rPr>
          <w:rFonts w:cs="Arial"/>
          <w:szCs w:val="24"/>
          <w:lang w:val="en-US"/>
        </w:rPr>
        <w:t>defined</w:t>
      </w:r>
      <w:r w:rsidR="00276018">
        <w:rPr>
          <w:rFonts w:cs="Arial"/>
          <w:szCs w:val="24"/>
          <w:lang w:val="en-US"/>
        </w:rPr>
        <w:t xml:space="preserve"> </w:t>
      </w:r>
      <w:r w:rsidRPr="003D488B">
        <w:rPr>
          <w:rFonts w:cs="Arial"/>
          <w:szCs w:val="24"/>
          <w:lang w:val="en-US"/>
        </w:rPr>
        <w:t>“tributary”</w:t>
      </w:r>
      <w:r w:rsidR="00276018">
        <w:rPr>
          <w:rFonts w:cs="Arial"/>
          <w:szCs w:val="24"/>
          <w:lang w:val="en-US"/>
        </w:rPr>
        <w:t xml:space="preserve"> in the regulatory text for the first time in the 2015 Rule. That term </w:t>
      </w:r>
      <w:r w:rsidRPr="003D488B">
        <w:rPr>
          <w:rFonts w:cs="Arial"/>
          <w:szCs w:val="24"/>
          <w:lang w:val="en-US"/>
        </w:rPr>
        <w:t>mean</w:t>
      </w:r>
      <w:r w:rsidR="00276018">
        <w:rPr>
          <w:rFonts w:cs="Arial"/>
          <w:szCs w:val="24"/>
          <w:lang w:val="en-US"/>
        </w:rPr>
        <w:t>s</w:t>
      </w:r>
      <w:r w:rsidRPr="003D488B">
        <w:rPr>
          <w:rFonts w:cs="Arial"/>
          <w:szCs w:val="24"/>
          <w:lang w:val="en-US"/>
        </w:rPr>
        <w:t xml:space="preserve"> any feature con</w:t>
      </w:r>
      <w:r w:rsidRPr="003D488B">
        <w:rPr>
          <w:rFonts w:cs="Arial"/>
          <w:szCs w:val="24"/>
          <w:lang w:val="en-US"/>
        </w:rPr>
        <w:softHyphen/>
        <w:t>tributing any minimal amount of flow to a category (1)-(3) water, “either directly or through another water,” and “characterized by the presence of physical indicators of a bed and banks and an ordinary high water mark.”</w:t>
      </w:r>
      <w:r w:rsidRPr="003D488B">
        <w:rPr>
          <w:rStyle w:val="FootnoteReference"/>
          <w:rFonts w:cs="Arial"/>
          <w:szCs w:val="24"/>
        </w:rPr>
        <w:footnoteReference w:id="13"/>
      </w:r>
      <w:r w:rsidRPr="003D488B">
        <w:rPr>
          <w:rFonts w:cs="Arial"/>
          <w:szCs w:val="24"/>
          <w:lang w:val="en-US"/>
        </w:rPr>
        <w:t xml:space="preserve"> </w:t>
      </w:r>
      <w:r w:rsidR="00276018">
        <w:rPr>
          <w:rFonts w:cs="Arial"/>
          <w:szCs w:val="24"/>
          <w:lang w:val="en-US"/>
        </w:rPr>
        <w:t>Given the breadth of this defini</w:t>
      </w:r>
      <w:r w:rsidRPr="003D488B">
        <w:rPr>
          <w:rFonts w:cs="Arial"/>
          <w:szCs w:val="24"/>
          <w:lang w:val="en-US"/>
        </w:rPr>
        <w:t xml:space="preserve">tion, ephemeral drainages, minor creek beds, and </w:t>
      </w:r>
      <w:r w:rsidR="00276018">
        <w:rPr>
          <w:rFonts w:cs="Arial"/>
          <w:szCs w:val="24"/>
          <w:lang w:val="en-US"/>
        </w:rPr>
        <w:t>other features that are typically dry</w:t>
      </w:r>
      <w:r w:rsidRPr="003D488B">
        <w:rPr>
          <w:rFonts w:cs="Arial"/>
          <w:szCs w:val="24"/>
          <w:lang w:val="en-US"/>
        </w:rPr>
        <w:t xml:space="preserve"> can be jurisdictional.</w:t>
      </w:r>
      <w:r w:rsidR="00276018">
        <w:rPr>
          <w:rFonts w:cs="Arial"/>
          <w:szCs w:val="24"/>
          <w:lang w:val="en-US"/>
        </w:rPr>
        <w:t xml:space="preserve"> This is </w:t>
      </w:r>
      <w:r w:rsidR="00590344">
        <w:rPr>
          <w:rFonts w:cs="Arial"/>
          <w:szCs w:val="24"/>
          <w:lang w:val="en-US"/>
        </w:rPr>
        <w:t>so</w:t>
      </w:r>
      <w:r w:rsidR="00276018">
        <w:rPr>
          <w:rFonts w:cs="Arial"/>
          <w:szCs w:val="24"/>
          <w:lang w:val="en-US"/>
        </w:rPr>
        <w:t xml:space="preserve"> even if </w:t>
      </w:r>
      <w:r w:rsidRPr="003D488B">
        <w:rPr>
          <w:rFonts w:cs="Arial"/>
          <w:szCs w:val="24"/>
          <w:lang w:val="en-US"/>
        </w:rPr>
        <w:t>they pass “through any number of [non-jurisdictional] downstream waters” or natural or man-made physical interruptions (</w:t>
      </w:r>
      <w:r w:rsidRPr="003D488B">
        <w:rPr>
          <w:rFonts w:cs="Arial"/>
          <w:i/>
          <w:szCs w:val="24"/>
          <w:lang w:val="en-US"/>
        </w:rPr>
        <w:t>e.g.</w:t>
      </w:r>
      <w:r w:rsidRPr="003D488B">
        <w:rPr>
          <w:rFonts w:cs="Arial"/>
          <w:szCs w:val="24"/>
          <w:lang w:val="en-US"/>
        </w:rPr>
        <w:t>, cul</w:t>
      </w:r>
      <w:r w:rsidRPr="003D488B">
        <w:rPr>
          <w:rFonts w:cs="Arial"/>
          <w:szCs w:val="24"/>
          <w:lang w:val="en-US"/>
        </w:rPr>
        <w:softHyphen/>
        <w:t xml:space="preserve">verts, dams, debris piles, boulder fields, or underground features) </w:t>
      </w:r>
      <w:r w:rsidRPr="003D488B">
        <w:rPr>
          <w:rFonts w:cs="Arial"/>
          <w:i/>
          <w:szCs w:val="24"/>
          <w:lang w:val="en-US"/>
        </w:rPr>
        <w:t>of any length</w:t>
      </w:r>
      <w:r w:rsidRPr="003D488B">
        <w:rPr>
          <w:rFonts w:cs="Arial"/>
          <w:szCs w:val="24"/>
          <w:lang w:val="en-US"/>
        </w:rPr>
        <w:t>, so long as a bed, banks, and ordinary high water mark can be identified upstream of the break.</w:t>
      </w:r>
      <w:r w:rsidRPr="003D488B">
        <w:rPr>
          <w:rStyle w:val="FootnoteReference"/>
          <w:rFonts w:cs="Arial"/>
          <w:szCs w:val="24"/>
        </w:rPr>
        <w:footnoteReference w:id="14"/>
      </w:r>
      <w:r w:rsidRPr="003D488B">
        <w:rPr>
          <w:rFonts w:cs="Arial"/>
          <w:szCs w:val="24"/>
          <w:lang w:val="en-US"/>
        </w:rPr>
        <w:t xml:space="preserve"> </w:t>
      </w:r>
    </w:p>
    <w:p w:rsidR="003D488B" w:rsidRDefault="003749BF" w:rsidP="003D488B">
      <w:pPr>
        <w:pStyle w:val="BodyText"/>
        <w:rPr>
          <w:rFonts w:cs="Arial"/>
          <w:szCs w:val="24"/>
          <w:lang w:val="en-US"/>
        </w:rPr>
      </w:pPr>
      <w:r>
        <w:rPr>
          <w:rFonts w:cs="Arial"/>
          <w:szCs w:val="24"/>
          <w:lang w:val="en-US"/>
        </w:rPr>
        <w:t xml:space="preserve">Not only is the </w:t>
      </w:r>
      <w:r w:rsidR="00590344">
        <w:rPr>
          <w:rFonts w:cs="Arial"/>
          <w:szCs w:val="24"/>
          <w:lang w:val="en-US"/>
        </w:rPr>
        <w:t>scope</w:t>
      </w:r>
      <w:r>
        <w:rPr>
          <w:rFonts w:cs="Arial"/>
          <w:szCs w:val="24"/>
          <w:lang w:val="en-US"/>
        </w:rPr>
        <w:t xml:space="preserve"> of this definition troubling, so is the way agency staff can apply it. Regulators can</w:t>
      </w:r>
      <w:r w:rsidR="00276018">
        <w:rPr>
          <w:rFonts w:cs="Arial"/>
          <w:szCs w:val="24"/>
          <w:lang w:val="en-US"/>
        </w:rPr>
        <w:t xml:space="preserve"> </w:t>
      </w:r>
      <w:r w:rsidR="003D488B" w:rsidRPr="003D488B">
        <w:rPr>
          <w:rFonts w:cs="Arial"/>
          <w:szCs w:val="24"/>
          <w:lang w:val="en-US"/>
        </w:rPr>
        <w:t xml:space="preserve">establish the presence of both “waters” and “physical indicators of a bed and banks and ordinary high water” </w:t>
      </w:r>
      <w:r w:rsidR="00195645">
        <w:rPr>
          <w:rFonts w:cs="Arial"/>
          <w:szCs w:val="24"/>
          <w:lang w:val="en-US"/>
        </w:rPr>
        <w:t>without ever stepping foot in the forest</w:t>
      </w:r>
      <w:r w:rsidR="003D488B" w:rsidRPr="003D488B">
        <w:rPr>
          <w:rFonts w:cs="Arial"/>
          <w:szCs w:val="24"/>
          <w:lang w:val="en-US"/>
        </w:rPr>
        <w:t>.</w:t>
      </w:r>
      <w:r w:rsidR="003D488B" w:rsidRPr="003D488B">
        <w:rPr>
          <w:rStyle w:val="FootnoteReference"/>
          <w:rFonts w:cs="Arial"/>
          <w:szCs w:val="24"/>
        </w:rPr>
        <w:footnoteReference w:id="15"/>
      </w:r>
      <w:r w:rsidR="00195645">
        <w:rPr>
          <w:rFonts w:cs="Arial"/>
          <w:szCs w:val="24"/>
          <w:lang w:val="en-US"/>
        </w:rPr>
        <w:t xml:space="preserve"> Rather than having to conduct “direct field observation,” t</w:t>
      </w:r>
      <w:r w:rsidR="003D488B" w:rsidRPr="003D488B">
        <w:rPr>
          <w:rFonts w:cs="Arial"/>
          <w:szCs w:val="24"/>
          <w:lang w:val="en-US"/>
        </w:rPr>
        <w:t>he Agencies can</w:t>
      </w:r>
      <w:r w:rsidR="00195645">
        <w:rPr>
          <w:rFonts w:cs="Arial"/>
          <w:szCs w:val="24"/>
          <w:lang w:val="en-US"/>
        </w:rPr>
        <w:t xml:space="preserve"> instead</w:t>
      </w:r>
      <w:r w:rsidR="003D488B" w:rsidRPr="003D488B">
        <w:rPr>
          <w:rFonts w:cs="Arial"/>
          <w:szCs w:val="24"/>
          <w:lang w:val="en-US"/>
        </w:rPr>
        <w:t xml:space="preserve"> rely on “[o]</w:t>
      </w:r>
      <w:proofErr w:type="spellStart"/>
      <w:r w:rsidR="003D488B" w:rsidRPr="003D488B">
        <w:rPr>
          <w:rFonts w:cs="Arial"/>
          <w:szCs w:val="24"/>
          <w:lang w:val="en-US"/>
        </w:rPr>
        <w:t>ther</w:t>
      </w:r>
      <w:proofErr w:type="spellEnd"/>
      <w:r w:rsidR="003D488B" w:rsidRPr="003D488B">
        <w:rPr>
          <w:rFonts w:cs="Arial"/>
          <w:szCs w:val="24"/>
          <w:lang w:val="en-US"/>
        </w:rPr>
        <w:t xml:space="preserve"> evidence,</w:t>
      </w:r>
      <w:r w:rsidR="00195645">
        <w:rPr>
          <w:rFonts w:cs="Arial"/>
          <w:szCs w:val="24"/>
          <w:lang w:val="en-US"/>
        </w:rPr>
        <w:t xml:space="preserve">” including </w:t>
      </w:r>
      <w:r w:rsidR="003D488B" w:rsidRPr="003D488B">
        <w:rPr>
          <w:rFonts w:cs="Arial"/>
          <w:szCs w:val="24"/>
          <w:lang w:val="en-US"/>
        </w:rPr>
        <w:t xml:space="preserve">“remote sensing or mapping information,” </w:t>
      </w:r>
      <w:r w:rsidR="00195645">
        <w:rPr>
          <w:rFonts w:cs="Arial"/>
          <w:szCs w:val="24"/>
          <w:lang w:val="en-US"/>
        </w:rPr>
        <w:t xml:space="preserve">such as topographic data, state or local maps, aerial photos, and other </w:t>
      </w:r>
      <w:r w:rsidR="003D488B" w:rsidRPr="003D488B">
        <w:rPr>
          <w:rFonts w:cs="Arial"/>
          <w:szCs w:val="24"/>
          <w:lang w:val="en-US"/>
        </w:rPr>
        <w:t>desktop tools.</w:t>
      </w:r>
      <w:r w:rsidR="003D488B" w:rsidRPr="003D488B">
        <w:rPr>
          <w:rStyle w:val="FootnoteReference"/>
          <w:rFonts w:cs="Arial"/>
          <w:szCs w:val="24"/>
        </w:rPr>
        <w:footnoteReference w:id="16"/>
      </w:r>
      <w:r w:rsidR="003D488B" w:rsidRPr="003D488B">
        <w:rPr>
          <w:rFonts w:cs="Arial"/>
          <w:szCs w:val="24"/>
          <w:lang w:val="en-US"/>
        </w:rPr>
        <w:t xml:space="preserve"> </w:t>
      </w:r>
      <w:r w:rsidR="00195645">
        <w:rPr>
          <w:rFonts w:cs="Arial"/>
          <w:szCs w:val="24"/>
          <w:lang w:val="en-US"/>
        </w:rPr>
        <w:t>The information need not even be current. T</w:t>
      </w:r>
      <w:r w:rsidR="003D488B" w:rsidRPr="003D488B">
        <w:rPr>
          <w:rFonts w:cs="Arial"/>
          <w:szCs w:val="24"/>
          <w:lang w:val="en-US"/>
        </w:rPr>
        <w:t xml:space="preserve">he Agencies may </w:t>
      </w:r>
      <w:r w:rsidR="00195645">
        <w:rPr>
          <w:rFonts w:cs="Arial"/>
          <w:szCs w:val="24"/>
          <w:lang w:val="en-US"/>
        </w:rPr>
        <w:t>look to</w:t>
      </w:r>
      <w:r w:rsidR="003D488B" w:rsidRPr="003D488B">
        <w:rPr>
          <w:rFonts w:cs="Arial"/>
          <w:szCs w:val="24"/>
          <w:lang w:val="en-US"/>
        </w:rPr>
        <w:t xml:space="preserve"> historical information </w:t>
      </w:r>
      <w:r w:rsidR="00195645">
        <w:rPr>
          <w:rFonts w:cs="Arial"/>
          <w:szCs w:val="24"/>
          <w:lang w:val="en-US"/>
        </w:rPr>
        <w:t>to try to find</w:t>
      </w:r>
      <w:r w:rsidR="003D488B" w:rsidRPr="003D488B">
        <w:rPr>
          <w:rFonts w:cs="Arial"/>
          <w:szCs w:val="24"/>
          <w:lang w:val="en-US"/>
        </w:rPr>
        <w:t xml:space="preserve"> </w:t>
      </w:r>
      <w:r w:rsidR="00195645">
        <w:rPr>
          <w:rFonts w:cs="Arial"/>
          <w:szCs w:val="24"/>
          <w:lang w:val="en-US"/>
        </w:rPr>
        <w:t xml:space="preserve">the </w:t>
      </w:r>
      <w:r w:rsidR="003D488B" w:rsidRPr="003D488B">
        <w:rPr>
          <w:rFonts w:cs="Arial"/>
          <w:szCs w:val="24"/>
          <w:lang w:val="en-US"/>
        </w:rPr>
        <w:t xml:space="preserve">prior existence of a bed, banks, and an ordinary high water mark, even </w:t>
      </w:r>
      <w:r w:rsidR="00195645">
        <w:rPr>
          <w:rFonts w:cs="Arial"/>
          <w:szCs w:val="24"/>
          <w:lang w:val="en-US"/>
        </w:rPr>
        <w:t>when those</w:t>
      </w:r>
      <w:r w:rsidR="003D488B" w:rsidRPr="003D488B">
        <w:rPr>
          <w:rFonts w:cs="Arial"/>
          <w:szCs w:val="24"/>
          <w:lang w:val="en-US"/>
        </w:rPr>
        <w:t xml:space="preserve"> features </w:t>
      </w:r>
      <w:r w:rsidR="00195645">
        <w:rPr>
          <w:rFonts w:cs="Arial"/>
          <w:szCs w:val="24"/>
          <w:lang w:val="en-US"/>
        </w:rPr>
        <w:t>are absent in the forest</w:t>
      </w:r>
      <w:r w:rsidR="003D488B" w:rsidRPr="003D488B">
        <w:rPr>
          <w:rFonts w:cs="Arial"/>
          <w:szCs w:val="24"/>
          <w:lang w:val="en-US"/>
        </w:rPr>
        <w:t xml:space="preserve"> today.</w:t>
      </w:r>
      <w:r w:rsidR="003D488B" w:rsidRPr="003D488B">
        <w:rPr>
          <w:rStyle w:val="FootnoteReference"/>
          <w:rFonts w:cs="Arial"/>
          <w:szCs w:val="24"/>
        </w:rPr>
        <w:footnoteReference w:id="17"/>
      </w:r>
    </w:p>
    <w:p w:rsidR="003D488B" w:rsidRPr="003D488B" w:rsidRDefault="003749BF" w:rsidP="003749BF">
      <w:pPr>
        <w:pStyle w:val="BodyText"/>
        <w:rPr>
          <w:rFonts w:cs="Arial"/>
          <w:szCs w:val="24"/>
          <w:lang w:val="en-US"/>
        </w:rPr>
      </w:pPr>
      <w:r>
        <w:rPr>
          <w:rFonts w:cs="Arial"/>
          <w:szCs w:val="24"/>
          <w:lang w:val="en-US"/>
        </w:rPr>
        <w:t>The 2015 Rule</w:t>
      </w:r>
      <w:r w:rsidR="00590344">
        <w:rPr>
          <w:rFonts w:cs="Arial"/>
          <w:szCs w:val="24"/>
          <w:lang w:val="en-US"/>
        </w:rPr>
        <w:t>’s approach to</w:t>
      </w:r>
      <w:r>
        <w:rPr>
          <w:rFonts w:cs="Arial"/>
          <w:szCs w:val="24"/>
          <w:lang w:val="en-US"/>
        </w:rPr>
        <w:t xml:space="preserve"> tributar</w:t>
      </w:r>
      <w:r w:rsidR="00590344">
        <w:rPr>
          <w:rFonts w:cs="Arial"/>
          <w:szCs w:val="24"/>
          <w:lang w:val="en-US"/>
        </w:rPr>
        <w:t xml:space="preserve">ies </w:t>
      </w:r>
      <w:r>
        <w:rPr>
          <w:rFonts w:cs="Arial"/>
          <w:szCs w:val="24"/>
          <w:lang w:val="en-US"/>
        </w:rPr>
        <w:t xml:space="preserve">conflicts with the holdings in </w:t>
      </w:r>
      <w:proofErr w:type="spellStart"/>
      <w:r>
        <w:rPr>
          <w:rFonts w:cs="Arial"/>
          <w:i/>
          <w:szCs w:val="24"/>
          <w:lang w:val="en-US"/>
        </w:rPr>
        <w:t>Rapanos</w:t>
      </w:r>
      <w:proofErr w:type="spellEnd"/>
      <w:r>
        <w:rPr>
          <w:rFonts w:cs="Arial"/>
          <w:szCs w:val="24"/>
          <w:lang w:val="en-US"/>
        </w:rPr>
        <w:t>. Contrary to the plura</w:t>
      </w:r>
      <w:r w:rsidR="00590344">
        <w:rPr>
          <w:rFonts w:cs="Arial"/>
          <w:szCs w:val="24"/>
          <w:lang w:val="en-US"/>
        </w:rPr>
        <w:t>lity’s view of jurisdiction, it encompasses countless features</w:t>
      </w:r>
      <w:r>
        <w:rPr>
          <w:rFonts w:cs="Arial"/>
          <w:szCs w:val="24"/>
          <w:lang w:val="en-US"/>
        </w:rPr>
        <w:t xml:space="preserve"> that lack the “ordinary presence of water” such as ephemeral streams and other features that the Act “by and large” treats as point sources, </w:t>
      </w:r>
      <w:r>
        <w:rPr>
          <w:rFonts w:cs="Arial"/>
          <w:i/>
          <w:szCs w:val="24"/>
          <w:lang w:val="en-US"/>
        </w:rPr>
        <w:t>not</w:t>
      </w:r>
      <w:r>
        <w:rPr>
          <w:rFonts w:cs="Arial"/>
          <w:szCs w:val="24"/>
          <w:lang w:val="en-US"/>
        </w:rPr>
        <w:t xml:space="preserve"> waters of the U.S.</w:t>
      </w:r>
      <w:r>
        <w:rPr>
          <w:rStyle w:val="FootnoteReference"/>
          <w:rFonts w:cs="Arial"/>
          <w:szCs w:val="24"/>
          <w:lang w:val="en-US"/>
        </w:rPr>
        <w:footnoteReference w:id="18"/>
      </w:r>
      <w:r>
        <w:rPr>
          <w:rFonts w:cs="Arial"/>
          <w:szCs w:val="24"/>
          <w:lang w:val="en-US"/>
        </w:rPr>
        <w:t xml:space="preserve"> And contrary to Justice Kennedy’s view of jurisdiction, the central focus on the ordinary high water </w:t>
      </w:r>
      <w:r>
        <w:rPr>
          <w:rFonts w:cs="Arial"/>
          <w:szCs w:val="24"/>
          <w:lang w:val="en-US"/>
        </w:rPr>
        <w:lastRenderedPageBreak/>
        <w:t xml:space="preserve">mark allows for the assertion of jurisdiction over a broad range of features that Justice Kennedy viewed </w:t>
      </w:r>
      <w:r w:rsidR="004A021D">
        <w:rPr>
          <w:rFonts w:cs="Arial"/>
          <w:szCs w:val="24"/>
          <w:lang w:val="en-US"/>
        </w:rPr>
        <w:t>as insufficient</w:t>
      </w:r>
      <w:r w:rsidR="003D488B" w:rsidRPr="003D488B">
        <w:rPr>
          <w:rFonts w:cs="Arial"/>
          <w:szCs w:val="24"/>
          <w:lang w:val="en-US"/>
        </w:rPr>
        <w:t xml:space="preserve"> to serve as the “determinative measure” for identifying waters of the United States.</w:t>
      </w:r>
      <w:r w:rsidR="003D488B" w:rsidRPr="003D488B">
        <w:rPr>
          <w:rStyle w:val="FootnoteReference"/>
          <w:rFonts w:cs="Arial"/>
          <w:szCs w:val="24"/>
        </w:rPr>
        <w:footnoteReference w:id="19"/>
      </w:r>
      <w:r w:rsidR="003D488B" w:rsidRPr="003D488B">
        <w:rPr>
          <w:rFonts w:cs="Arial"/>
          <w:szCs w:val="24"/>
          <w:lang w:val="en-US"/>
        </w:rPr>
        <w:t xml:space="preserve"> </w:t>
      </w:r>
      <w:r w:rsidR="004A021D">
        <w:rPr>
          <w:rFonts w:cs="Arial"/>
          <w:szCs w:val="24"/>
          <w:lang w:val="en-US"/>
        </w:rPr>
        <w:t>Given that a</w:t>
      </w:r>
      <w:r w:rsidR="003D488B" w:rsidRPr="003D488B">
        <w:rPr>
          <w:rFonts w:cs="Arial"/>
          <w:szCs w:val="24"/>
          <w:lang w:val="en-US"/>
        </w:rPr>
        <w:t>n ordinary high water mark is an uncertain indicator of “vol</w:t>
      </w:r>
      <w:r w:rsidR="004A021D">
        <w:rPr>
          <w:rFonts w:cs="Arial"/>
          <w:szCs w:val="24"/>
          <w:lang w:val="en-US"/>
        </w:rPr>
        <w:t xml:space="preserve">ume and regularity of flow,” the 2015 Rule improperly asserts </w:t>
      </w:r>
      <w:r w:rsidR="003D488B" w:rsidRPr="003D488B">
        <w:rPr>
          <w:rFonts w:cs="Arial"/>
          <w:szCs w:val="24"/>
          <w:lang w:val="en-US"/>
        </w:rPr>
        <w:t xml:space="preserve">jurisdiction </w:t>
      </w:r>
      <w:r w:rsidR="004A021D">
        <w:rPr>
          <w:rFonts w:cs="Arial"/>
          <w:szCs w:val="24"/>
          <w:lang w:val="en-US"/>
        </w:rPr>
        <w:t xml:space="preserve">over too many </w:t>
      </w:r>
      <w:r w:rsidR="003D488B" w:rsidRPr="003D488B">
        <w:rPr>
          <w:rFonts w:cs="Arial"/>
          <w:szCs w:val="24"/>
          <w:lang w:val="en-US"/>
        </w:rPr>
        <w:t xml:space="preserve">“remote” features </w:t>
      </w:r>
      <w:r w:rsidR="004A021D">
        <w:rPr>
          <w:rFonts w:cs="Arial"/>
          <w:szCs w:val="24"/>
          <w:lang w:val="en-US"/>
        </w:rPr>
        <w:t>that have</w:t>
      </w:r>
      <w:r w:rsidR="003D488B" w:rsidRPr="003D488B">
        <w:rPr>
          <w:rFonts w:cs="Arial"/>
          <w:szCs w:val="24"/>
          <w:lang w:val="en-US"/>
        </w:rPr>
        <w:t xml:space="preserve"> only “minor” connections to navigable waters</w:t>
      </w:r>
      <w:r w:rsidR="004A021D">
        <w:rPr>
          <w:rFonts w:cs="Arial"/>
          <w:szCs w:val="24"/>
          <w:lang w:val="en-US"/>
        </w:rPr>
        <w:t>.</w:t>
      </w:r>
      <w:r w:rsidR="003D488B" w:rsidRPr="003D488B">
        <w:rPr>
          <w:rStyle w:val="FootnoteReference"/>
          <w:rFonts w:cs="Arial"/>
          <w:szCs w:val="24"/>
        </w:rPr>
        <w:footnoteReference w:id="20"/>
      </w:r>
      <w:r w:rsidR="003D488B" w:rsidRPr="003D488B">
        <w:rPr>
          <w:rFonts w:cs="Arial"/>
          <w:szCs w:val="24"/>
          <w:lang w:val="en-US"/>
        </w:rPr>
        <w:t xml:space="preserve"> </w:t>
      </w:r>
    </w:p>
    <w:p w:rsidR="003D488B" w:rsidRPr="003D488B" w:rsidRDefault="004A021D" w:rsidP="00C32167">
      <w:pPr>
        <w:pStyle w:val="BodyText"/>
        <w:rPr>
          <w:rFonts w:cs="Arial"/>
          <w:szCs w:val="24"/>
          <w:lang w:val="en-US"/>
        </w:rPr>
      </w:pPr>
      <w:r>
        <w:rPr>
          <w:rFonts w:cs="Arial"/>
          <w:szCs w:val="24"/>
          <w:lang w:val="en-US"/>
        </w:rPr>
        <w:t xml:space="preserve">The definition of “tributary” also lacks support in the scientific record for the 2015 Rule. According to the Agencies, </w:t>
      </w:r>
      <w:r w:rsidR="003D488B" w:rsidRPr="003D488B">
        <w:rPr>
          <w:rFonts w:cs="Arial"/>
          <w:szCs w:val="24"/>
          <w:lang w:val="en-US"/>
        </w:rPr>
        <w:t>an ordinary high water mark “forms due to some regularity of flow and does not occur due to extraordinary events.”</w:t>
      </w:r>
      <w:r w:rsidR="003D488B" w:rsidRPr="003D488B">
        <w:rPr>
          <w:rStyle w:val="FootnoteReference"/>
          <w:rFonts w:cs="Arial"/>
          <w:szCs w:val="24"/>
        </w:rPr>
        <w:footnoteReference w:id="21"/>
      </w:r>
      <w:r w:rsidR="003D488B" w:rsidRPr="003D488B">
        <w:rPr>
          <w:rFonts w:cs="Arial"/>
          <w:szCs w:val="24"/>
          <w:lang w:val="en-US"/>
        </w:rPr>
        <w:t xml:space="preserve"> </w:t>
      </w:r>
      <w:r>
        <w:rPr>
          <w:rFonts w:cs="Arial"/>
          <w:szCs w:val="24"/>
          <w:lang w:val="en-US"/>
        </w:rPr>
        <w:t>But that is demonstrably false</w:t>
      </w:r>
      <w:r w:rsidR="00590344">
        <w:rPr>
          <w:rFonts w:cs="Arial"/>
          <w:szCs w:val="24"/>
          <w:lang w:val="en-US"/>
        </w:rPr>
        <w:t>,</w:t>
      </w:r>
      <w:r>
        <w:rPr>
          <w:rFonts w:cs="Arial"/>
          <w:szCs w:val="24"/>
          <w:lang w:val="en-US"/>
        </w:rPr>
        <w:t xml:space="preserve"> at least in some parts of the country</w:t>
      </w:r>
      <w:r w:rsidR="003D488B" w:rsidRPr="003D488B">
        <w:rPr>
          <w:rFonts w:cs="Arial"/>
          <w:szCs w:val="24"/>
          <w:lang w:val="en-US"/>
        </w:rPr>
        <w:t xml:space="preserve">. The Agencies </w:t>
      </w:r>
      <w:r>
        <w:rPr>
          <w:rFonts w:cs="Arial"/>
          <w:szCs w:val="24"/>
          <w:lang w:val="en-US"/>
        </w:rPr>
        <w:t>candidly admitted in the preamble to the final rule that</w:t>
      </w:r>
      <w:r w:rsidR="003D488B" w:rsidRPr="003D488B">
        <w:rPr>
          <w:rFonts w:cs="Arial"/>
          <w:szCs w:val="24"/>
          <w:lang w:val="en-US"/>
        </w:rPr>
        <w:t xml:space="preserve"> evidence of connectivity for </w:t>
      </w:r>
      <w:r>
        <w:rPr>
          <w:rFonts w:cs="Arial"/>
          <w:szCs w:val="24"/>
          <w:lang w:val="en-US"/>
        </w:rPr>
        <w:t>intermittent and ephemeral</w:t>
      </w:r>
      <w:r w:rsidR="003D488B" w:rsidRPr="003D488B">
        <w:rPr>
          <w:rFonts w:cs="Arial"/>
          <w:szCs w:val="24"/>
          <w:lang w:val="en-US"/>
        </w:rPr>
        <w:t xml:space="preserve"> features is “less abundant” than for perennial features in water-rich regions.</w:t>
      </w:r>
      <w:r w:rsidR="003D488B" w:rsidRPr="003D488B">
        <w:rPr>
          <w:rStyle w:val="FootnoteReference"/>
          <w:rFonts w:cs="Arial"/>
          <w:szCs w:val="24"/>
        </w:rPr>
        <w:footnoteReference w:id="22"/>
      </w:r>
      <w:r w:rsidR="003D488B" w:rsidRPr="003D488B">
        <w:rPr>
          <w:rFonts w:cs="Arial"/>
          <w:szCs w:val="24"/>
          <w:lang w:val="en-US"/>
        </w:rPr>
        <w:t xml:space="preserve"> </w:t>
      </w:r>
      <w:r w:rsidR="00C32167">
        <w:rPr>
          <w:rFonts w:cs="Arial"/>
          <w:szCs w:val="24"/>
          <w:lang w:val="en-US"/>
        </w:rPr>
        <w:t>Take the</w:t>
      </w:r>
      <w:r w:rsidR="003D488B" w:rsidRPr="003D488B">
        <w:rPr>
          <w:rFonts w:cs="Arial"/>
          <w:szCs w:val="24"/>
          <w:lang w:val="en-US"/>
        </w:rPr>
        <w:t xml:space="preserve"> arid West </w:t>
      </w:r>
      <w:r w:rsidR="00C32167">
        <w:rPr>
          <w:rFonts w:cs="Arial"/>
          <w:szCs w:val="24"/>
          <w:lang w:val="en-US"/>
        </w:rPr>
        <w:t>for example. Even t</w:t>
      </w:r>
      <w:r w:rsidR="003D488B" w:rsidRPr="003D488B">
        <w:rPr>
          <w:rFonts w:cs="Arial"/>
          <w:szCs w:val="24"/>
          <w:lang w:val="en-US"/>
        </w:rPr>
        <w:t xml:space="preserve">he Corps’ </w:t>
      </w:r>
      <w:r w:rsidR="00C32167">
        <w:rPr>
          <w:rFonts w:cs="Arial"/>
          <w:szCs w:val="24"/>
          <w:lang w:val="en-US"/>
        </w:rPr>
        <w:t xml:space="preserve">own </w:t>
      </w:r>
      <w:r w:rsidR="003D488B" w:rsidRPr="003D488B">
        <w:rPr>
          <w:rFonts w:cs="Arial"/>
          <w:szCs w:val="24"/>
          <w:lang w:val="en-US"/>
        </w:rPr>
        <w:t>studies have found “no direct correlation” between the location of ordinary high water mark indicators and future water flow in arid regions.</w:t>
      </w:r>
      <w:r w:rsidR="003D488B" w:rsidRPr="003D488B">
        <w:rPr>
          <w:rStyle w:val="FootnoteReference"/>
          <w:rFonts w:cs="Arial"/>
          <w:szCs w:val="24"/>
        </w:rPr>
        <w:footnoteReference w:id="23"/>
      </w:r>
      <w:r w:rsidR="003D488B" w:rsidRPr="003D488B">
        <w:rPr>
          <w:rFonts w:cs="Arial"/>
          <w:szCs w:val="24"/>
          <w:lang w:val="en-US"/>
        </w:rPr>
        <w:t xml:space="preserve"> </w:t>
      </w:r>
      <w:r w:rsidR="00C32167">
        <w:rPr>
          <w:rFonts w:cs="Arial"/>
          <w:szCs w:val="24"/>
          <w:lang w:val="en-US"/>
        </w:rPr>
        <w:t>The Corps has</w:t>
      </w:r>
      <w:r w:rsidR="00590344">
        <w:rPr>
          <w:rFonts w:cs="Arial"/>
          <w:szCs w:val="24"/>
          <w:lang w:val="en-US"/>
        </w:rPr>
        <w:t xml:space="preserve"> also</w:t>
      </w:r>
      <w:r w:rsidR="00C32167">
        <w:rPr>
          <w:rFonts w:cs="Arial"/>
          <w:szCs w:val="24"/>
          <w:lang w:val="en-US"/>
        </w:rPr>
        <w:t xml:space="preserve"> found that s</w:t>
      </w:r>
      <w:r w:rsidR="003D488B" w:rsidRPr="003D488B">
        <w:rPr>
          <w:rFonts w:cs="Arial"/>
          <w:szCs w:val="24"/>
          <w:lang w:val="en-US"/>
        </w:rPr>
        <w:t>uch “indicators are distributed randomly throughout the [arid] landscape and are not related to specific channel characteristics.”</w:t>
      </w:r>
      <w:r w:rsidR="003D488B" w:rsidRPr="003D488B">
        <w:rPr>
          <w:rStyle w:val="FootnoteReference"/>
          <w:rFonts w:cs="Arial"/>
          <w:szCs w:val="24"/>
        </w:rPr>
        <w:footnoteReference w:id="24"/>
      </w:r>
      <w:r w:rsidR="003D488B" w:rsidRPr="003D488B">
        <w:rPr>
          <w:rFonts w:cs="Arial"/>
          <w:szCs w:val="24"/>
          <w:lang w:val="en-US"/>
        </w:rPr>
        <w:t xml:space="preserve"> </w:t>
      </w:r>
      <w:r w:rsidR="00C32167">
        <w:rPr>
          <w:rFonts w:cs="Arial"/>
          <w:szCs w:val="24"/>
          <w:lang w:val="en-US"/>
        </w:rPr>
        <w:t>It goes without saying that</w:t>
      </w:r>
      <w:r w:rsidR="003D488B" w:rsidRPr="003D488B">
        <w:rPr>
          <w:rFonts w:cs="Arial"/>
          <w:szCs w:val="24"/>
          <w:lang w:val="en-US"/>
        </w:rPr>
        <w:t xml:space="preserve"> “randomly” distribu</w:t>
      </w:r>
      <w:r w:rsidR="00C32167">
        <w:rPr>
          <w:rFonts w:cs="Arial"/>
          <w:szCs w:val="24"/>
          <w:lang w:val="en-US"/>
        </w:rPr>
        <w:t>ted indicators are not a reasonable</w:t>
      </w:r>
      <w:r w:rsidR="003D488B" w:rsidRPr="003D488B">
        <w:rPr>
          <w:rFonts w:cs="Arial"/>
          <w:szCs w:val="24"/>
          <w:lang w:val="en-US"/>
        </w:rPr>
        <w:t xml:space="preserve"> basis for a finding that all features that satisfy the definition of “tributary” </w:t>
      </w:r>
      <w:r w:rsidR="00071F68">
        <w:rPr>
          <w:rFonts w:cs="Arial"/>
          <w:szCs w:val="24"/>
          <w:lang w:val="en-US"/>
        </w:rPr>
        <w:t xml:space="preserve">are categorically jurisdictional because they </w:t>
      </w:r>
      <w:r w:rsidR="00590344">
        <w:rPr>
          <w:rFonts w:cs="Arial"/>
          <w:szCs w:val="24"/>
          <w:lang w:val="en-US"/>
        </w:rPr>
        <w:t>have a</w:t>
      </w:r>
      <w:r w:rsidR="003D488B" w:rsidRPr="003D488B">
        <w:rPr>
          <w:rFonts w:cs="Arial"/>
          <w:szCs w:val="24"/>
          <w:lang w:val="en-US"/>
        </w:rPr>
        <w:t xml:space="preserve"> “significant nexus” </w:t>
      </w:r>
      <w:r w:rsidR="00590344">
        <w:rPr>
          <w:rFonts w:cs="Arial"/>
          <w:szCs w:val="24"/>
          <w:lang w:val="en-US"/>
        </w:rPr>
        <w:t>to navigable waters in the traditional sense</w:t>
      </w:r>
      <w:r w:rsidR="003D488B" w:rsidRPr="003D488B">
        <w:rPr>
          <w:rFonts w:cs="Arial"/>
          <w:szCs w:val="24"/>
          <w:lang w:val="en-US"/>
        </w:rPr>
        <w:t>.</w:t>
      </w:r>
    </w:p>
    <w:p w:rsidR="003D488B" w:rsidRPr="003D488B" w:rsidRDefault="003D488B" w:rsidP="008B259A">
      <w:pPr>
        <w:pStyle w:val="Heading1"/>
      </w:pPr>
      <w:bookmarkStart w:id="7" w:name="_Toc465662680"/>
      <w:r w:rsidRPr="003D488B">
        <w:t xml:space="preserve">The 2015 Rule’s </w:t>
      </w:r>
      <w:r w:rsidRPr="008B259A">
        <w:rPr>
          <w:rStyle w:val="Emphasis"/>
        </w:rPr>
        <w:t>definition</w:t>
      </w:r>
      <w:r w:rsidRPr="003D488B">
        <w:t xml:space="preserve"> of “adjacent” </w:t>
      </w:r>
      <w:bookmarkEnd w:id="7"/>
      <w:r w:rsidR="00AE0043">
        <w:t>exceeds the Agencies’ CWA authority</w:t>
      </w:r>
      <w:r w:rsidRPr="003D488B">
        <w:t>.</w:t>
      </w:r>
    </w:p>
    <w:p w:rsidR="003D488B" w:rsidRPr="003D488B" w:rsidRDefault="009B1D4B" w:rsidP="003D488B">
      <w:pPr>
        <w:pStyle w:val="BodyText"/>
        <w:rPr>
          <w:rFonts w:cs="Arial"/>
          <w:szCs w:val="24"/>
          <w:lang w:val="en-US"/>
        </w:rPr>
      </w:pPr>
      <w:r>
        <w:rPr>
          <w:rFonts w:cs="Arial"/>
          <w:szCs w:val="24"/>
          <w:lang w:val="en-US"/>
        </w:rPr>
        <w:t>Like the p</w:t>
      </w:r>
      <w:r w:rsidR="00EB786D">
        <w:rPr>
          <w:rFonts w:cs="Arial"/>
          <w:szCs w:val="24"/>
          <w:lang w:val="en-US"/>
        </w:rPr>
        <w:t xml:space="preserve">rior </w:t>
      </w:r>
      <w:r>
        <w:rPr>
          <w:rFonts w:cs="Arial"/>
          <w:szCs w:val="24"/>
          <w:lang w:val="en-US"/>
        </w:rPr>
        <w:t>regulations</w:t>
      </w:r>
      <w:r w:rsidR="00EB786D">
        <w:rPr>
          <w:rFonts w:cs="Arial"/>
          <w:szCs w:val="24"/>
          <w:lang w:val="en-US"/>
        </w:rPr>
        <w:t>, t</w:t>
      </w:r>
      <w:r w:rsidR="003D488B" w:rsidRPr="003D488B">
        <w:rPr>
          <w:rFonts w:cs="Arial"/>
          <w:szCs w:val="24"/>
          <w:lang w:val="en-US"/>
        </w:rPr>
        <w:t>he 2015 Rule define</w:t>
      </w:r>
      <w:r w:rsidR="00EB786D">
        <w:rPr>
          <w:rFonts w:cs="Arial"/>
          <w:szCs w:val="24"/>
          <w:lang w:val="en-US"/>
        </w:rPr>
        <w:t xml:space="preserve">d </w:t>
      </w:r>
      <w:r w:rsidR="003D488B" w:rsidRPr="003D488B">
        <w:rPr>
          <w:rFonts w:cs="Arial"/>
          <w:szCs w:val="24"/>
          <w:lang w:val="en-US"/>
        </w:rPr>
        <w:t>“adjacent” as “bordering, contiguous, or neighboring.</w:t>
      </w:r>
      <w:r w:rsidR="00EB786D">
        <w:rPr>
          <w:rFonts w:cs="Arial"/>
          <w:szCs w:val="24"/>
          <w:lang w:val="en-US"/>
        </w:rPr>
        <w:t xml:space="preserve">” But the addition of a new definition of </w:t>
      </w:r>
      <w:r w:rsidR="003D488B" w:rsidRPr="003D488B">
        <w:rPr>
          <w:rFonts w:cs="Arial"/>
          <w:szCs w:val="24"/>
          <w:lang w:val="en-US"/>
        </w:rPr>
        <w:t xml:space="preserve">“neighboring” </w:t>
      </w:r>
      <w:r>
        <w:rPr>
          <w:rFonts w:cs="Arial"/>
          <w:szCs w:val="24"/>
          <w:lang w:val="en-US"/>
        </w:rPr>
        <w:t>significantly changed the universe of “adjacent” waters</w:t>
      </w:r>
      <w:r w:rsidR="00EB786D">
        <w:rPr>
          <w:rFonts w:cs="Arial"/>
          <w:szCs w:val="24"/>
          <w:lang w:val="en-US"/>
        </w:rPr>
        <w:t xml:space="preserve">. That term </w:t>
      </w:r>
      <w:r w:rsidR="003D488B" w:rsidRPr="003D488B">
        <w:rPr>
          <w:rFonts w:cs="Arial"/>
          <w:szCs w:val="24"/>
          <w:lang w:val="en-US"/>
        </w:rPr>
        <w:t>include</w:t>
      </w:r>
      <w:r w:rsidR="00EB786D">
        <w:rPr>
          <w:rFonts w:cs="Arial"/>
          <w:szCs w:val="24"/>
          <w:lang w:val="en-US"/>
        </w:rPr>
        <w:t>s</w:t>
      </w:r>
      <w:r w:rsidR="003D488B" w:rsidRPr="003D488B">
        <w:rPr>
          <w:rFonts w:cs="Arial"/>
          <w:szCs w:val="24"/>
          <w:lang w:val="en-US"/>
        </w:rPr>
        <w:t>, among other things, (i) waters within 100 feet of the ordinary high water mark of a navigable water or tributary, and (ii) waters within the 100-year floodplain of such a water and within 1,500 feet of its ordinary high water mark.</w:t>
      </w:r>
      <w:r w:rsidR="003D488B" w:rsidRPr="003D488B">
        <w:rPr>
          <w:rStyle w:val="FootnoteReference"/>
          <w:rFonts w:cs="Arial"/>
          <w:szCs w:val="24"/>
        </w:rPr>
        <w:footnoteReference w:id="25"/>
      </w:r>
      <w:r w:rsidR="003D488B" w:rsidRPr="003D488B">
        <w:rPr>
          <w:rFonts w:cs="Arial"/>
          <w:szCs w:val="24"/>
          <w:lang w:val="en-US"/>
        </w:rPr>
        <w:t xml:space="preserve"> This definition </w:t>
      </w:r>
      <w:r w:rsidR="00EB786D">
        <w:rPr>
          <w:rFonts w:cs="Arial"/>
          <w:szCs w:val="24"/>
          <w:lang w:val="en-US"/>
        </w:rPr>
        <w:t xml:space="preserve">is </w:t>
      </w:r>
      <w:r>
        <w:rPr>
          <w:rFonts w:cs="Arial"/>
          <w:szCs w:val="24"/>
          <w:lang w:val="en-US"/>
        </w:rPr>
        <w:t xml:space="preserve">incompatible with </w:t>
      </w:r>
      <w:r w:rsidR="003D488B" w:rsidRPr="003D488B">
        <w:rPr>
          <w:rFonts w:cs="Arial"/>
          <w:szCs w:val="24"/>
          <w:lang w:val="en-US"/>
        </w:rPr>
        <w:t>Supreme Court precedent.</w:t>
      </w:r>
    </w:p>
    <w:p w:rsidR="003D488B" w:rsidRPr="003D488B" w:rsidRDefault="003D488B" w:rsidP="003D488B">
      <w:pPr>
        <w:pStyle w:val="BodyText"/>
        <w:rPr>
          <w:rFonts w:cs="Arial"/>
          <w:szCs w:val="24"/>
          <w:lang w:val="en-US"/>
        </w:rPr>
      </w:pPr>
      <w:r w:rsidRPr="003D488B">
        <w:rPr>
          <w:rFonts w:cs="Arial"/>
          <w:i/>
          <w:color w:val="000000" w:themeColor="text1"/>
          <w:szCs w:val="24"/>
          <w:lang w:val="en-US"/>
        </w:rPr>
        <w:t>R</w:t>
      </w:r>
      <w:bookmarkStart w:id="9" w:name="_BA_Cite_56BBB7_000643"/>
      <w:bookmarkEnd w:id="9"/>
      <w:r w:rsidRPr="003D488B">
        <w:rPr>
          <w:rFonts w:cs="Arial"/>
          <w:i/>
          <w:color w:val="000000" w:themeColor="text1"/>
          <w:szCs w:val="24"/>
          <w:lang w:val="en-US"/>
        </w:rPr>
        <w:t>iverside Bayview</w:t>
      </w:r>
      <w:r w:rsidR="00EB786D">
        <w:rPr>
          <w:rFonts w:cs="Arial"/>
          <w:color w:val="000000" w:themeColor="text1"/>
          <w:szCs w:val="24"/>
          <w:lang w:val="en-US"/>
        </w:rPr>
        <w:t xml:space="preserve"> upheld the assertion of jurisdiction over </w:t>
      </w:r>
      <w:r w:rsidRPr="003D488B">
        <w:rPr>
          <w:rFonts w:cs="Arial"/>
          <w:szCs w:val="24"/>
          <w:lang w:val="en-US"/>
        </w:rPr>
        <w:t>wetlands “adjoining” and “actually abut[ting] on” a traditional “navig</w:t>
      </w:r>
      <w:r w:rsidRPr="003D488B">
        <w:rPr>
          <w:rFonts w:cs="Arial"/>
          <w:szCs w:val="24"/>
          <w:lang w:val="en-US"/>
        </w:rPr>
        <w:softHyphen/>
        <w:t>able waterway.”</w:t>
      </w:r>
      <w:r w:rsidRPr="003D488B">
        <w:rPr>
          <w:rStyle w:val="FootnoteReference"/>
          <w:rFonts w:cs="Arial"/>
          <w:szCs w:val="24"/>
        </w:rPr>
        <w:footnoteReference w:id="26"/>
      </w:r>
      <w:r w:rsidRPr="003D488B">
        <w:rPr>
          <w:rFonts w:cs="Arial"/>
          <w:szCs w:val="24"/>
          <w:lang w:val="en-US"/>
        </w:rPr>
        <w:t xml:space="preserve"> </w:t>
      </w:r>
      <w:r w:rsidR="00EB786D">
        <w:rPr>
          <w:rFonts w:cs="Arial"/>
          <w:szCs w:val="24"/>
          <w:lang w:val="en-US"/>
        </w:rPr>
        <w:t xml:space="preserve">To be jurisdictional, </w:t>
      </w:r>
      <w:r w:rsidRPr="003D488B">
        <w:rPr>
          <w:rFonts w:cs="Arial"/>
          <w:szCs w:val="24"/>
          <w:lang w:val="en-US"/>
        </w:rPr>
        <w:lastRenderedPageBreak/>
        <w:t>adjacent wet</w:t>
      </w:r>
      <w:r w:rsidRPr="003D488B">
        <w:rPr>
          <w:rFonts w:cs="Arial"/>
          <w:szCs w:val="24"/>
          <w:lang w:val="en-US"/>
        </w:rPr>
        <w:softHyphen/>
        <w:t xml:space="preserve">lands </w:t>
      </w:r>
      <w:r w:rsidR="00EB786D">
        <w:rPr>
          <w:rFonts w:cs="Arial"/>
          <w:szCs w:val="24"/>
          <w:lang w:val="en-US"/>
        </w:rPr>
        <w:t xml:space="preserve">had to </w:t>
      </w:r>
      <w:r w:rsidRPr="003D488B">
        <w:rPr>
          <w:rFonts w:cs="Arial"/>
          <w:szCs w:val="24"/>
          <w:lang w:val="en-US"/>
        </w:rPr>
        <w:t>be “inseparably bound up with the ‘waters’ of the United States” and not meaningfully dis</w:t>
      </w:r>
      <w:r w:rsidRPr="003D488B">
        <w:rPr>
          <w:rFonts w:cs="Arial"/>
          <w:szCs w:val="24"/>
          <w:lang w:val="en-US"/>
        </w:rPr>
        <w:softHyphen/>
        <w:t>tinguish</w:t>
      </w:r>
      <w:r w:rsidRPr="003D488B">
        <w:rPr>
          <w:rFonts w:cs="Arial"/>
          <w:szCs w:val="24"/>
          <w:lang w:val="en-US"/>
        </w:rPr>
        <w:softHyphen/>
        <w:t>able from them.</w:t>
      </w:r>
      <w:r w:rsidRPr="003D488B">
        <w:rPr>
          <w:rStyle w:val="FootnoteReference"/>
          <w:rFonts w:cs="Arial"/>
          <w:szCs w:val="24"/>
        </w:rPr>
        <w:footnoteReference w:id="27"/>
      </w:r>
      <w:r w:rsidRPr="003D488B">
        <w:rPr>
          <w:rFonts w:cs="Arial"/>
          <w:szCs w:val="24"/>
          <w:lang w:val="en-US"/>
        </w:rPr>
        <w:t xml:space="preserve"> </w:t>
      </w:r>
      <w:r w:rsidR="00EB786D">
        <w:rPr>
          <w:rFonts w:cs="Arial"/>
          <w:szCs w:val="24"/>
          <w:lang w:val="en-US"/>
        </w:rPr>
        <w:t xml:space="preserve">In </w:t>
      </w:r>
      <w:proofErr w:type="spellStart"/>
      <w:r w:rsidRPr="003D488B">
        <w:rPr>
          <w:rFonts w:cs="Arial"/>
          <w:i/>
          <w:szCs w:val="24"/>
          <w:lang w:val="en-US"/>
        </w:rPr>
        <w:t>SWANCC</w:t>
      </w:r>
      <w:proofErr w:type="spellEnd"/>
      <w:r w:rsidRPr="003D488B">
        <w:rPr>
          <w:rFonts w:cs="Arial"/>
          <w:szCs w:val="24"/>
          <w:lang w:val="en-US"/>
        </w:rPr>
        <w:t>,</w:t>
      </w:r>
      <w:r w:rsidRPr="003D488B">
        <w:rPr>
          <w:rFonts w:cs="Arial"/>
          <w:i/>
          <w:szCs w:val="24"/>
          <w:lang w:val="en-US"/>
        </w:rPr>
        <w:t xml:space="preserve"> </w:t>
      </w:r>
      <w:r w:rsidRPr="003D488B">
        <w:rPr>
          <w:rFonts w:cs="Arial"/>
          <w:szCs w:val="24"/>
          <w:lang w:val="en-US"/>
        </w:rPr>
        <w:t xml:space="preserve">the Court </w:t>
      </w:r>
      <w:bookmarkStart w:id="11" w:name="_BA_Cite_56BBB7_000665"/>
      <w:bookmarkEnd w:id="11"/>
      <w:r w:rsidRPr="003D488B">
        <w:rPr>
          <w:rFonts w:cs="Arial"/>
          <w:szCs w:val="24"/>
          <w:lang w:val="en-US"/>
        </w:rPr>
        <w:t xml:space="preserve">rejected the Corps’ assertion of jurisdiction over </w:t>
      </w:r>
      <w:r w:rsidRPr="003D488B">
        <w:rPr>
          <w:rFonts w:cs="Arial"/>
          <w:i/>
          <w:szCs w:val="24"/>
          <w:lang w:val="en-US"/>
        </w:rPr>
        <w:t>isolated</w:t>
      </w:r>
      <w:r w:rsidRPr="003D488B">
        <w:rPr>
          <w:rFonts w:cs="Arial"/>
          <w:szCs w:val="24"/>
          <w:lang w:val="en-US"/>
        </w:rPr>
        <w:t xml:space="preserve"> non-navigable waters “that [we]re </w:t>
      </w:r>
      <w:r w:rsidRPr="003D488B">
        <w:rPr>
          <w:rFonts w:cs="Arial"/>
          <w:i/>
          <w:szCs w:val="24"/>
          <w:lang w:val="en-US"/>
        </w:rPr>
        <w:t xml:space="preserve">not </w:t>
      </w:r>
      <w:r w:rsidRPr="003D488B">
        <w:rPr>
          <w:rFonts w:cs="Arial"/>
          <w:szCs w:val="24"/>
          <w:lang w:val="en-US"/>
        </w:rPr>
        <w:t>adjacent to open water”</w:t>
      </w:r>
      <w:r w:rsidRPr="003D488B">
        <w:rPr>
          <w:rStyle w:val="FootnoteReference"/>
          <w:rFonts w:cs="Arial"/>
          <w:szCs w:val="24"/>
        </w:rPr>
        <w:footnoteReference w:id="28"/>
      </w:r>
      <w:r w:rsidRPr="003D488B">
        <w:rPr>
          <w:rFonts w:cs="Arial"/>
          <w:szCs w:val="24"/>
          <w:lang w:val="en-US"/>
        </w:rPr>
        <w:t xml:space="preserve"> </w:t>
      </w:r>
      <w:r w:rsidR="00EB786D">
        <w:rPr>
          <w:rFonts w:cs="Arial"/>
          <w:szCs w:val="24"/>
          <w:lang w:val="en-US"/>
        </w:rPr>
        <w:t>And</w:t>
      </w:r>
      <w:r w:rsidRPr="003D488B">
        <w:rPr>
          <w:rFonts w:cs="Arial"/>
          <w:szCs w:val="24"/>
          <w:lang w:val="en-US"/>
        </w:rPr>
        <w:t xml:space="preserve"> in </w:t>
      </w:r>
      <w:proofErr w:type="spellStart"/>
      <w:r w:rsidRPr="003D488B">
        <w:rPr>
          <w:rFonts w:cs="Arial"/>
          <w:i/>
          <w:szCs w:val="24"/>
          <w:lang w:val="en-US"/>
        </w:rPr>
        <w:t>R</w:t>
      </w:r>
      <w:bookmarkStart w:id="13" w:name="_BA_Cite_56BBB7_000644"/>
      <w:bookmarkEnd w:id="13"/>
      <w:r w:rsidRPr="003D488B">
        <w:rPr>
          <w:rFonts w:cs="Arial"/>
          <w:i/>
          <w:szCs w:val="24"/>
          <w:lang w:val="en-US"/>
        </w:rPr>
        <w:t>apanos</w:t>
      </w:r>
      <w:proofErr w:type="spellEnd"/>
      <w:r w:rsidRPr="003D488B">
        <w:rPr>
          <w:rFonts w:cs="Arial"/>
          <w:szCs w:val="24"/>
          <w:lang w:val="en-US"/>
        </w:rPr>
        <w:t>, the plurality opinion explai</w:t>
      </w:r>
      <w:r w:rsidR="00EB786D">
        <w:rPr>
          <w:rFonts w:cs="Arial"/>
          <w:szCs w:val="24"/>
          <w:lang w:val="en-US"/>
        </w:rPr>
        <w:t>ned that “</w:t>
      </w:r>
      <w:r w:rsidRPr="003D488B">
        <w:rPr>
          <w:rFonts w:cs="Arial"/>
          <w:szCs w:val="24"/>
          <w:lang w:val="en-US"/>
        </w:rPr>
        <w:t xml:space="preserve">‘adjacent’ as used in </w:t>
      </w:r>
      <w:r w:rsidRPr="003D488B">
        <w:rPr>
          <w:rFonts w:cs="Arial"/>
          <w:i/>
          <w:szCs w:val="24"/>
          <w:lang w:val="en-US"/>
        </w:rPr>
        <w:t>Riverside Bayview</w:t>
      </w:r>
      <w:r w:rsidRPr="003D488B">
        <w:rPr>
          <w:rFonts w:cs="Arial"/>
          <w:szCs w:val="24"/>
          <w:lang w:val="en-US"/>
        </w:rPr>
        <w:t xml:space="preserve"> is not ambiguous between ‘physically abutting’ and merely ‘nearby.’”</w:t>
      </w:r>
      <w:r w:rsidRPr="003D488B">
        <w:rPr>
          <w:rStyle w:val="FootnoteReference"/>
          <w:rFonts w:cs="Arial"/>
          <w:szCs w:val="24"/>
        </w:rPr>
        <w:footnoteReference w:id="29"/>
      </w:r>
      <w:r w:rsidR="00046ABE">
        <w:rPr>
          <w:rFonts w:cs="Arial"/>
          <w:szCs w:val="24"/>
          <w:lang w:val="en-US"/>
        </w:rPr>
        <w:t xml:space="preserve"> A </w:t>
      </w:r>
      <w:r w:rsidR="00046ABE" w:rsidRPr="003D488B">
        <w:rPr>
          <w:rFonts w:cs="Arial"/>
          <w:szCs w:val="24"/>
          <w:lang w:val="en-US"/>
        </w:rPr>
        <w:t>“</w:t>
      </w:r>
      <w:r w:rsidR="00046ABE" w:rsidRPr="003D488B">
        <w:rPr>
          <w:rFonts w:cs="Arial"/>
          <w:i/>
          <w:szCs w:val="24"/>
          <w:lang w:val="en-US"/>
        </w:rPr>
        <w:t>continuous</w:t>
      </w:r>
      <w:r w:rsidR="00046ABE" w:rsidRPr="003D488B">
        <w:rPr>
          <w:rFonts w:cs="Arial"/>
          <w:szCs w:val="24"/>
          <w:lang w:val="en-US"/>
        </w:rPr>
        <w:t xml:space="preserve"> surface connection” </w:t>
      </w:r>
      <w:r w:rsidR="00046ABE">
        <w:rPr>
          <w:rFonts w:cs="Arial"/>
          <w:szCs w:val="24"/>
          <w:lang w:val="en-US"/>
        </w:rPr>
        <w:t xml:space="preserve">is </w:t>
      </w:r>
      <w:r w:rsidR="00046ABE" w:rsidRPr="003D488B">
        <w:rPr>
          <w:rFonts w:cs="Arial"/>
          <w:szCs w:val="24"/>
          <w:lang w:val="en-US"/>
        </w:rPr>
        <w:t xml:space="preserve">required </w:t>
      </w:r>
      <w:r w:rsidR="00046ABE">
        <w:rPr>
          <w:rFonts w:cs="Arial"/>
          <w:szCs w:val="24"/>
          <w:lang w:val="en-US"/>
        </w:rPr>
        <w:t>between adjacent wetlands and navigable waters in their own right under</w:t>
      </w:r>
      <w:r w:rsidR="00046ABE" w:rsidRPr="003D488B">
        <w:rPr>
          <w:rFonts w:cs="Arial"/>
          <w:szCs w:val="24"/>
          <w:lang w:val="en-US"/>
        </w:rPr>
        <w:t xml:space="preserve"> the </w:t>
      </w:r>
      <w:proofErr w:type="spellStart"/>
      <w:r w:rsidR="00046ABE" w:rsidRPr="003D488B">
        <w:rPr>
          <w:rFonts w:cs="Arial"/>
          <w:i/>
          <w:szCs w:val="24"/>
          <w:lang w:val="en-US"/>
        </w:rPr>
        <w:t>R</w:t>
      </w:r>
      <w:bookmarkStart w:id="14" w:name="_BA_Cite_56BBB7_000650"/>
      <w:bookmarkEnd w:id="14"/>
      <w:r w:rsidR="00046ABE" w:rsidRPr="003D488B">
        <w:rPr>
          <w:rFonts w:cs="Arial"/>
          <w:i/>
          <w:szCs w:val="24"/>
          <w:lang w:val="en-US"/>
        </w:rPr>
        <w:t>apanos</w:t>
      </w:r>
      <w:proofErr w:type="spellEnd"/>
      <w:r w:rsidR="00046ABE" w:rsidRPr="003D488B">
        <w:rPr>
          <w:rFonts w:cs="Arial"/>
          <w:i/>
          <w:szCs w:val="24"/>
          <w:lang w:val="en-US"/>
        </w:rPr>
        <w:t xml:space="preserve"> </w:t>
      </w:r>
      <w:r w:rsidR="00046ABE" w:rsidRPr="003D488B">
        <w:rPr>
          <w:rFonts w:cs="Arial"/>
          <w:szCs w:val="24"/>
          <w:lang w:val="en-US"/>
        </w:rPr>
        <w:t>plurality.</w:t>
      </w:r>
      <w:r w:rsidR="00046ABE" w:rsidRPr="003D488B">
        <w:rPr>
          <w:rStyle w:val="FootnoteReference"/>
          <w:rFonts w:cs="Arial"/>
          <w:szCs w:val="24"/>
        </w:rPr>
        <w:footnoteReference w:id="30"/>
      </w:r>
      <w:r w:rsidR="00A977BC">
        <w:rPr>
          <w:rFonts w:cs="Arial"/>
          <w:szCs w:val="24"/>
          <w:lang w:val="en-US"/>
        </w:rPr>
        <w:t xml:space="preserve"> </w:t>
      </w:r>
      <w:r w:rsidR="00B24D33">
        <w:rPr>
          <w:rFonts w:cs="Arial"/>
          <w:szCs w:val="24"/>
          <w:lang w:val="en-US"/>
        </w:rPr>
        <w:t xml:space="preserve">Contrary to these </w:t>
      </w:r>
      <w:r w:rsidR="00AE0043">
        <w:rPr>
          <w:rFonts w:cs="Arial"/>
          <w:szCs w:val="24"/>
          <w:lang w:val="en-US"/>
        </w:rPr>
        <w:t>cases</w:t>
      </w:r>
      <w:r w:rsidR="00B24D33">
        <w:rPr>
          <w:rFonts w:cs="Arial"/>
          <w:szCs w:val="24"/>
          <w:lang w:val="en-US"/>
        </w:rPr>
        <w:t xml:space="preserve">, </w:t>
      </w:r>
      <w:r w:rsidRPr="003D488B">
        <w:rPr>
          <w:rFonts w:cs="Arial"/>
          <w:szCs w:val="24"/>
          <w:lang w:val="en-US"/>
        </w:rPr>
        <w:t xml:space="preserve">the 2015 Rule </w:t>
      </w:r>
      <w:r w:rsidR="00B24D33">
        <w:rPr>
          <w:rFonts w:cs="Arial"/>
          <w:szCs w:val="24"/>
          <w:lang w:val="en-US"/>
        </w:rPr>
        <w:t xml:space="preserve">stretched the concept of “adjacent” </w:t>
      </w:r>
      <w:r w:rsidRPr="003D488B">
        <w:rPr>
          <w:rFonts w:cs="Arial"/>
          <w:szCs w:val="24"/>
          <w:lang w:val="en-US"/>
        </w:rPr>
        <w:t xml:space="preserve">to </w:t>
      </w:r>
      <w:r w:rsidR="00B24D33">
        <w:rPr>
          <w:rFonts w:cs="Arial"/>
          <w:szCs w:val="24"/>
          <w:lang w:val="en-US"/>
        </w:rPr>
        <w:t xml:space="preserve">include non-abutting, </w:t>
      </w:r>
      <w:r w:rsidRPr="003D488B">
        <w:rPr>
          <w:rFonts w:cs="Arial"/>
          <w:szCs w:val="24"/>
          <w:lang w:val="en-US"/>
        </w:rPr>
        <w:t>“nearby” waters</w:t>
      </w:r>
      <w:r w:rsidR="00B24D33">
        <w:rPr>
          <w:rFonts w:cs="Arial"/>
          <w:szCs w:val="24"/>
          <w:lang w:val="en-US"/>
        </w:rPr>
        <w:t xml:space="preserve"> (not just wetlands)</w:t>
      </w:r>
      <w:r w:rsidRPr="003D488B">
        <w:rPr>
          <w:rFonts w:cs="Arial"/>
          <w:szCs w:val="24"/>
          <w:lang w:val="en-US"/>
        </w:rPr>
        <w:t xml:space="preserve"> based on notions of “functional relatedness,” rather than physical and geographical proximity</w:t>
      </w:r>
      <w:r w:rsidR="00B24D33">
        <w:rPr>
          <w:rFonts w:cs="Arial"/>
          <w:szCs w:val="24"/>
          <w:lang w:val="en-US"/>
        </w:rPr>
        <w:t xml:space="preserve"> to traditional navigable waters</w:t>
      </w:r>
      <w:r w:rsidRPr="003D488B">
        <w:rPr>
          <w:rFonts w:cs="Arial"/>
          <w:szCs w:val="24"/>
          <w:lang w:val="en-US"/>
        </w:rPr>
        <w:t>.</w:t>
      </w:r>
    </w:p>
    <w:p w:rsidR="003D488B" w:rsidRPr="003D488B" w:rsidRDefault="009B1D4B" w:rsidP="003D488B">
      <w:pPr>
        <w:pStyle w:val="BodyText"/>
        <w:rPr>
          <w:rFonts w:cs="Arial"/>
          <w:color w:val="000000" w:themeColor="text1"/>
          <w:szCs w:val="24"/>
          <w:lang w:val="en-US"/>
        </w:rPr>
      </w:pPr>
      <w:r>
        <w:rPr>
          <w:rFonts w:cs="Arial"/>
          <w:szCs w:val="24"/>
          <w:lang w:val="en-US"/>
        </w:rPr>
        <w:t>Even</w:t>
      </w:r>
      <w:r w:rsidR="003D488B" w:rsidRPr="003D488B">
        <w:rPr>
          <w:rFonts w:cs="Arial"/>
          <w:szCs w:val="24"/>
          <w:lang w:val="en-US"/>
        </w:rPr>
        <w:t xml:space="preserve"> Justice Kennedy’s concurring opinion in </w:t>
      </w:r>
      <w:proofErr w:type="spellStart"/>
      <w:r w:rsidR="003D488B" w:rsidRPr="003D488B">
        <w:rPr>
          <w:rFonts w:cs="Arial"/>
          <w:i/>
          <w:szCs w:val="24"/>
          <w:lang w:val="en-US"/>
        </w:rPr>
        <w:t>Rapanos</w:t>
      </w:r>
      <w:proofErr w:type="spellEnd"/>
      <w:r w:rsidR="003D488B" w:rsidRPr="003D488B">
        <w:rPr>
          <w:rFonts w:cs="Arial"/>
          <w:szCs w:val="24"/>
          <w:lang w:val="en-US"/>
        </w:rPr>
        <w:t xml:space="preserve"> </w:t>
      </w:r>
      <w:r>
        <w:rPr>
          <w:rFonts w:cs="Arial"/>
          <w:szCs w:val="24"/>
          <w:lang w:val="en-US"/>
        </w:rPr>
        <w:t>did not view</w:t>
      </w:r>
      <w:r w:rsidR="00B24D33">
        <w:rPr>
          <w:rFonts w:cs="Arial"/>
          <w:szCs w:val="24"/>
          <w:lang w:val="en-US"/>
        </w:rPr>
        <w:t xml:space="preserve"> adjacency this</w:t>
      </w:r>
      <w:r>
        <w:rPr>
          <w:rFonts w:cs="Arial"/>
          <w:szCs w:val="24"/>
          <w:lang w:val="en-US"/>
        </w:rPr>
        <w:t xml:space="preserve"> expansively</w:t>
      </w:r>
      <w:r w:rsidR="00B24D33">
        <w:rPr>
          <w:rFonts w:cs="Arial"/>
          <w:szCs w:val="24"/>
          <w:lang w:val="en-US"/>
        </w:rPr>
        <w:t xml:space="preserve">. </w:t>
      </w:r>
      <w:r w:rsidR="003D488B" w:rsidRPr="003D488B">
        <w:rPr>
          <w:rFonts w:cs="Arial"/>
          <w:szCs w:val="24"/>
          <w:lang w:val="en-US"/>
        </w:rPr>
        <w:t>Justice Kennedy</w:t>
      </w:r>
      <w:r w:rsidR="00B24D33">
        <w:rPr>
          <w:rFonts w:cs="Arial"/>
          <w:szCs w:val="24"/>
          <w:lang w:val="en-US"/>
        </w:rPr>
        <w:t xml:space="preserve"> held that </w:t>
      </w:r>
      <w:r w:rsidR="003D488B" w:rsidRPr="003D488B">
        <w:rPr>
          <w:rFonts w:cs="Arial"/>
          <w:color w:val="000000" w:themeColor="text1"/>
          <w:szCs w:val="24"/>
          <w:lang w:val="en-US"/>
        </w:rPr>
        <w:t xml:space="preserve">a wetland’s mere adjacency to a minor tributary </w:t>
      </w:r>
      <w:r w:rsidR="00B24D33">
        <w:rPr>
          <w:rFonts w:cs="Arial"/>
          <w:color w:val="000000" w:themeColor="text1"/>
          <w:szCs w:val="24"/>
          <w:lang w:val="en-US"/>
        </w:rPr>
        <w:t>cannot</w:t>
      </w:r>
      <w:r w:rsidR="003D488B" w:rsidRPr="003D488B">
        <w:rPr>
          <w:rFonts w:cs="Arial"/>
          <w:color w:val="000000" w:themeColor="text1"/>
          <w:szCs w:val="24"/>
          <w:lang w:val="en-US"/>
        </w:rPr>
        <w:t xml:space="preserve"> be “the deter</w:t>
      </w:r>
      <w:r w:rsidR="003D488B" w:rsidRPr="003D488B">
        <w:rPr>
          <w:rFonts w:cs="Arial"/>
          <w:color w:val="000000" w:themeColor="text1"/>
          <w:szCs w:val="24"/>
          <w:lang w:val="en-US"/>
        </w:rPr>
        <w:softHyphen/>
        <w:t>minative measure” of wh</w:t>
      </w:r>
      <w:r w:rsidR="003D488B" w:rsidRPr="003D488B">
        <w:rPr>
          <w:rFonts w:cs="Arial"/>
          <w:szCs w:val="24"/>
          <w:lang w:val="en-US"/>
        </w:rPr>
        <w:t>ether it was “likely to play an important role in the integrity of an aquatic system comprising navigable waters as traditionally under</w:t>
      </w:r>
      <w:r w:rsidR="003D488B" w:rsidRPr="003D488B">
        <w:rPr>
          <w:rFonts w:cs="Arial"/>
          <w:szCs w:val="24"/>
          <w:lang w:val="en-US"/>
        </w:rPr>
        <w:softHyphen/>
        <w:t>stood.”</w:t>
      </w:r>
      <w:r w:rsidR="003D488B" w:rsidRPr="003D488B">
        <w:rPr>
          <w:rStyle w:val="FootnoteReference"/>
          <w:rFonts w:cs="Arial"/>
          <w:szCs w:val="24"/>
        </w:rPr>
        <w:footnoteReference w:id="31"/>
      </w:r>
      <w:r w:rsidR="00B24D33">
        <w:rPr>
          <w:rFonts w:cs="Arial"/>
          <w:szCs w:val="24"/>
          <w:lang w:val="en-US"/>
        </w:rPr>
        <w:t xml:space="preserve"> This is because</w:t>
      </w:r>
      <w:r w:rsidR="003D488B" w:rsidRPr="003D488B">
        <w:rPr>
          <w:rFonts w:cs="Arial"/>
          <w:szCs w:val="24"/>
          <w:lang w:val="en-US"/>
        </w:rPr>
        <w:t xml:space="preserve"> </w:t>
      </w:r>
      <w:r w:rsidR="00B24D33">
        <w:rPr>
          <w:rFonts w:cs="Arial"/>
          <w:szCs w:val="24"/>
          <w:lang w:val="en-US"/>
        </w:rPr>
        <w:t>“we</w:t>
      </w:r>
      <w:r w:rsidR="003D488B" w:rsidRPr="003D488B">
        <w:rPr>
          <w:rFonts w:cs="Arial"/>
          <w:szCs w:val="24"/>
          <w:lang w:val="en-US"/>
        </w:rPr>
        <w:t xml:space="preserve">tlands adjacent to [such] tributaries” “might appear little more related to navigable-in-fact waters than were the isolated ponds [in </w:t>
      </w:r>
      <w:proofErr w:type="spellStart"/>
      <w:r w:rsidR="003D488B" w:rsidRPr="003D488B">
        <w:rPr>
          <w:rFonts w:cs="Arial"/>
          <w:i/>
          <w:szCs w:val="24"/>
          <w:lang w:val="en-US"/>
        </w:rPr>
        <w:t>S</w:t>
      </w:r>
      <w:bookmarkStart w:id="15" w:name="_BA_Cite_56BBB7_000666"/>
      <w:bookmarkEnd w:id="15"/>
      <w:r w:rsidR="003D488B" w:rsidRPr="003D488B">
        <w:rPr>
          <w:rFonts w:cs="Arial"/>
          <w:i/>
          <w:szCs w:val="24"/>
          <w:lang w:val="en-US"/>
        </w:rPr>
        <w:t>WANCC</w:t>
      </w:r>
      <w:proofErr w:type="spellEnd"/>
      <w:r w:rsidR="003D488B" w:rsidRPr="003D488B">
        <w:rPr>
          <w:rFonts w:cs="Arial"/>
          <w:szCs w:val="24"/>
          <w:lang w:val="en-US"/>
        </w:rPr>
        <w:t>].”</w:t>
      </w:r>
      <w:r w:rsidR="003D488B" w:rsidRPr="003D488B">
        <w:rPr>
          <w:rStyle w:val="FootnoteReference"/>
          <w:rFonts w:cs="Arial"/>
          <w:szCs w:val="24"/>
        </w:rPr>
        <w:footnoteReference w:id="32"/>
      </w:r>
      <w:r w:rsidR="003D488B" w:rsidRPr="003D488B">
        <w:rPr>
          <w:rFonts w:cs="Arial"/>
          <w:szCs w:val="24"/>
          <w:lang w:val="en-US"/>
        </w:rPr>
        <w:t xml:space="preserve"> </w:t>
      </w:r>
      <w:r w:rsidR="00B24D33">
        <w:rPr>
          <w:rFonts w:cs="Arial"/>
          <w:szCs w:val="24"/>
          <w:lang w:val="en-US"/>
        </w:rPr>
        <w:t>But the 2015 Rule nevertheless asserts jurisdi</w:t>
      </w:r>
      <w:r>
        <w:rPr>
          <w:rFonts w:cs="Arial"/>
          <w:szCs w:val="24"/>
          <w:lang w:val="en-US"/>
        </w:rPr>
        <w:t>ction over such wetlands</w:t>
      </w:r>
      <w:r w:rsidR="00B24D33">
        <w:rPr>
          <w:rFonts w:cs="Arial"/>
          <w:szCs w:val="24"/>
          <w:lang w:val="en-US"/>
        </w:rPr>
        <w:t>. Indeed,</w:t>
      </w:r>
      <w:r w:rsidR="003D488B" w:rsidRPr="003D488B">
        <w:rPr>
          <w:rFonts w:cs="Arial"/>
          <w:szCs w:val="24"/>
          <w:lang w:val="en-US"/>
        </w:rPr>
        <w:t xml:space="preserve"> waters </w:t>
      </w:r>
      <w:r w:rsidR="00B24D33">
        <w:rPr>
          <w:rFonts w:cs="Arial"/>
          <w:szCs w:val="24"/>
          <w:lang w:val="en-US"/>
        </w:rPr>
        <w:t xml:space="preserve">are categorically jurisdictional so long as they are </w:t>
      </w:r>
      <w:r w:rsidR="003D488B" w:rsidRPr="003D488B">
        <w:rPr>
          <w:rFonts w:cs="Arial"/>
          <w:szCs w:val="24"/>
          <w:lang w:val="en-US"/>
        </w:rPr>
        <w:t>adjacen</w:t>
      </w:r>
      <w:r w:rsidR="00B24D33">
        <w:rPr>
          <w:rFonts w:cs="Arial"/>
          <w:szCs w:val="24"/>
          <w:lang w:val="en-US"/>
        </w:rPr>
        <w:t xml:space="preserve">t </w:t>
      </w:r>
      <w:r w:rsidR="003D488B" w:rsidRPr="003D488B">
        <w:rPr>
          <w:rFonts w:cs="Arial"/>
          <w:szCs w:val="24"/>
          <w:lang w:val="en-US"/>
        </w:rPr>
        <w:t xml:space="preserve">to </w:t>
      </w:r>
      <w:r w:rsidR="00B24D33">
        <w:rPr>
          <w:rFonts w:cs="Arial"/>
          <w:szCs w:val="24"/>
          <w:lang w:val="en-US"/>
        </w:rPr>
        <w:t xml:space="preserve">even remote and insubstantial </w:t>
      </w:r>
      <w:r w:rsidR="003D488B" w:rsidRPr="003D488B">
        <w:rPr>
          <w:rFonts w:cs="Arial"/>
          <w:szCs w:val="24"/>
          <w:lang w:val="en-US"/>
        </w:rPr>
        <w:t>“tributaries</w:t>
      </w:r>
      <w:r w:rsidR="00B24D33">
        <w:rPr>
          <w:rFonts w:cs="Arial"/>
          <w:szCs w:val="24"/>
          <w:lang w:val="en-US"/>
        </w:rPr>
        <w:t xml:space="preserve">” such as </w:t>
      </w:r>
      <w:r w:rsidR="003D488B" w:rsidRPr="003D488B">
        <w:rPr>
          <w:rFonts w:cs="Arial"/>
          <w:szCs w:val="24"/>
          <w:lang w:val="en-US"/>
        </w:rPr>
        <w:t>ephemeral features, drai</w:t>
      </w:r>
      <w:r w:rsidR="00B24D33">
        <w:rPr>
          <w:rFonts w:cs="Arial"/>
          <w:szCs w:val="24"/>
          <w:lang w:val="en-US"/>
        </w:rPr>
        <w:t xml:space="preserve">ns, ditches, and streams far removed </w:t>
      </w:r>
      <w:r w:rsidR="003D488B" w:rsidRPr="003D488B">
        <w:rPr>
          <w:rFonts w:cs="Arial"/>
          <w:szCs w:val="24"/>
          <w:lang w:val="en-US"/>
        </w:rPr>
        <w:t xml:space="preserve">from </w:t>
      </w:r>
      <w:r w:rsidR="00B24D33">
        <w:rPr>
          <w:rFonts w:cs="Arial"/>
          <w:szCs w:val="24"/>
          <w:lang w:val="en-US"/>
        </w:rPr>
        <w:t xml:space="preserve">traditional </w:t>
      </w:r>
      <w:r w:rsidR="003D488B" w:rsidRPr="003D488B">
        <w:rPr>
          <w:rFonts w:cs="Arial"/>
          <w:szCs w:val="24"/>
          <w:lang w:val="en-US"/>
        </w:rPr>
        <w:t xml:space="preserve">navigable waters. </w:t>
      </w:r>
    </w:p>
    <w:p w:rsidR="003D488B" w:rsidRDefault="009B1D4B" w:rsidP="003D488B">
      <w:pPr>
        <w:pStyle w:val="BodyText"/>
        <w:rPr>
          <w:rFonts w:cs="Arial"/>
          <w:color w:val="000000" w:themeColor="text1"/>
          <w:szCs w:val="24"/>
          <w:lang w:val="en-US"/>
        </w:rPr>
      </w:pPr>
      <w:r>
        <w:rPr>
          <w:rFonts w:cs="Arial"/>
          <w:color w:val="000000" w:themeColor="text1"/>
          <w:szCs w:val="24"/>
          <w:lang w:val="en-US"/>
        </w:rPr>
        <w:t>Moreover, t</w:t>
      </w:r>
      <w:r w:rsidR="00B24D33">
        <w:rPr>
          <w:rFonts w:cs="Arial"/>
          <w:color w:val="000000" w:themeColor="text1"/>
          <w:szCs w:val="24"/>
          <w:lang w:val="en-US"/>
        </w:rPr>
        <w:t xml:space="preserve">he expansion of “adjacency” </w:t>
      </w:r>
      <w:r>
        <w:rPr>
          <w:rFonts w:cs="Arial"/>
          <w:color w:val="000000" w:themeColor="text1"/>
          <w:szCs w:val="24"/>
          <w:lang w:val="en-US"/>
        </w:rPr>
        <w:t>to all waters (not just</w:t>
      </w:r>
      <w:r w:rsidR="00B24D33">
        <w:rPr>
          <w:rFonts w:cs="Arial"/>
          <w:color w:val="000000" w:themeColor="text1"/>
          <w:szCs w:val="24"/>
          <w:lang w:val="en-US"/>
        </w:rPr>
        <w:t xml:space="preserve"> wetlands</w:t>
      </w:r>
      <w:r>
        <w:rPr>
          <w:rFonts w:cs="Arial"/>
          <w:color w:val="000000" w:themeColor="text1"/>
          <w:szCs w:val="24"/>
          <w:lang w:val="en-US"/>
        </w:rPr>
        <w:t>)</w:t>
      </w:r>
      <w:r w:rsidR="00B24D33">
        <w:rPr>
          <w:rFonts w:cs="Arial"/>
          <w:color w:val="000000" w:themeColor="text1"/>
          <w:szCs w:val="24"/>
          <w:lang w:val="en-US"/>
        </w:rPr>
        <w:t xml:space="preserve"> </w:t>
      </w:r>
      <w:r w:rsidR="00046ABE">
        <w:rPr>
          <w:rFonts w:cs="Arial"/>
          <w:color w:val="000000" w:themeColor="text1"/>
          <w:szCs w:val="24"/>
          <w:lang w:val="en-US"/>
        </w:rPr>
        <w:t>lacks support in Supreme Court precedent. Th</w:t>
      </w:r>
      <w:r w:rsidR="003D488B" w:rsidRPr="003D488B">
        <w:rPr>
          <w:rFonts w:cs="Arial"/>
          <w:szCs w:val="24"/>
          <w:lang w:val="en-US"/>
        </w:rPr>
        <w:t xml:space="preserve">e </w:t>
      </w:r>
      <w:proofErr w:type="spellStart"/>
      <w:r w:rsidR="003D488B" w:rsidRPr="003D488B">
        <w:rPr>
          <w:rFonts w:cs="Arial"/>
          <w:i/>
          <w:szCs w:val="24"/>
          <w:lang w:val="en-US"/>
        </w:rPr>
        <w:t>R</w:t>
      </w:r>
      <w:bookmarkStart w:id="17" w:name="_BA_Cite_56BBB7_000647"/>
      <w:bookmarkEnd w:id="17"/>
      <w:r w:rsidR="003D488B" w:rsidRPr="003D488B">
        <w:rPr>
          <w:rFonts w:cs="Arial"/>
          <w:i/>
          <w:szCs w:val="24"/>
          <w:lang w:val="en-US"/>
        </w:rPr>
        <w:t>apanos</w:t>
      </w:r>
      <w:proofErr w:type="spellEnd"/>
      <w:r w:rsidR="003D488B" w:rsidRPr="003D488B">
        <w:rPr>
          <w:rFonts w:cs="Arial"/>
          <w:szCs w:val="24"/>
          <w:lang w:val="en-US"/>
        </w:rPr>
        <w:t xml:space="preserve"> plurality explained</w:t>
      </w:r>
      <w:r w:rsidR="00046ABE">
        <w:rPr>
          <w:rFonts w:cs="Arial"/>
          <w:szCs w:val="24"/>
          <w:lang w:val="en-US"/>
        </w:rPr>
        <w:t xml:space="preserve"> that</w:t>
      </w:r>
      <w:r w:rsidR="003D488B" w:rsidRPr="003D488B">
        <w:rPr>
          <w:rFonts w:cs="Arial"/>
          <w:szCs w:val="24"/>
          <w:lang w:val="en-US"/>
        </w:rPr>
        <w:t xml:space="preserve"> </w:t>
      </w:r>
      <w:r w:rsidR="003D488B" w:rsidRPr="003D488B">
        <w:rPr>
          <w:rFonts w:cs="Arial"/>
          <w:i/>
          <w:szCs w:val="24"/>
          <w:lang w:val="en-US"/>
        </w:rPr>
        <w:t>non-wetland</w:t>
      </w:r>
      <w:r w:rsidR="003D488B" w:rsidRPr="003D488B">
        <w:rPr>
          <w:rFonts w:cs="Arial"/>
          <w:szCs w:val="24"/>
          <w:lang w:val="en-US"/>
        </w:rPr>
        <w:t xml:space="preserve"> “waters”—especially those separated from traditional navigable waters by physical barriers or significant distances—“do not implicate the boundary-drawing problem” that made it appropriate to defer to the Corps’ approach to adjacency in </w:t>
      </w:r>
      <w:r w:rsidR="003D488B" w:rsidRPr="003D488B">
        <w:rPr>
          <w:rFonts w:cs="Arial"/>
          <w:i/>
          <w:szCs w:val="24"/>
          <w:lang w:val="en-US"/>
        </w:rPr>
        <w:t>R</w:t>
      </w:r>
      <w:bookmarkStart w:id="18" w:name="_BA_Cite_56BBB7_000648"/>
      <w:bookmarkEnd w:id="18"/>
      <w:r w:rsidR="003D488B" w:rsidRPr="003D488B">
        <w:rPr>
          <w:rFonts w:cs="Arial"/>
          <w:i/>
          <w:szCs w:val="24"/>
          <w:lang w:val="en-US"/>
        </w:rPr>
        <w:t>iverside Bayview.</w:t>
      </w:r>
      <w:r w:rsidR="003D488B" w:rsidRPr="003D488B">
        <w:rPr>
          <w:rStyle w:val="FootnoteReference"/>
          <w:rFonts w:cs="Arial"/>
          <w:szCs w:val="24"/>
        </w:rPr>
        <w:footnoteReference w:id="33"/>
      </w:r>
      <w:r w:rsidR="003D488B" w:rsidRPr="003D488B">
        <w:rPr>
          <w:rFonts w:cs="Arial"/>
          <w:szCs w:val="24"/>
          <w:lang w:val="en-US"/>
        </w:rPr>
        <w:t xml:space="preserve"> </w:t>
      </w:r>
      <w:r w:rsidR="00046ABE">
        <w:rPr>
          <w:rFonts w:cs="Arial"/>
          <w:szCs w:val="24"/>
          <w:lang w:val="en-US"/>
        </w:rPr>
        <w:t xml:space="preserve">Perhaps unsurprisingly, other </w:t>
      </w:r>
      <w:r w:rsidR="003D488B" w:rsidRPr="003D488B">
        <w:rPr>
          <w:rFonts w:cs="Arial"/>
          <w:szCs w:val="24"/>
          <w:lang w:val="en-US"/>
        </w:rPr>
        <w:t>courts ha</w:t>
      </w:r>
      <w:r w:rsidR="00046ABE">
        <w:rPr>
          <w:rFonts w:cs="Arial"/>
          <w:szCs w:val="24"/>
          <w:lang w:val="en-US"/>
        </w:rPr>
        <w:t>ve previously</w:t>
      </w:r>
      <w:r w:rsidR="003D488B" w:rsidRPr="003D488B">
        <w:rPr>
          <w:rFonts w:cs="Arial"/>
          <w:szCs w:val="24"/>
          <w:lang w:val="en-US"/>
        </w:rPr>
        <w:t xml:space="preserve"> rejected attempts to </w:t>
      </w:r>
      <w:r w:rsidR="00046ABE">
        <w:rPr>
          <w:rFonts w:cs="Arial"/>
          <w:szCs w:val="24"/>
          <w:lang w:val="en-US"/>
        </w:rPr>
        <w:t>expand</w:t>
      </w:r>
      <w:r w:rsidR="003D488B" w:rsidRPr="003D488B">
        <w:rPr>
          <w:rFonts w:cs="Arial"/>
          <w:szCs w:val="24"/>
          <w:lang w:val="en-US"/>
        </w:rPr>
        <w:t xml:space="preserve"> “adjacen</w:t>
      </w:r>
      <w:r w:rsidR="003D488B" w:rsidRPr="003D488B">
        <w:rPr>
          <w:rFonts w:cs="Arial"/>
          <w:szCs w:val="24"/>
          <w:lang w:val="en-US"/>
        </w:rPr>
        <w:softHyphen/>
        <w:t xml:space="preserve">cy” jurisdiction </w:t>
      </w:r>
      <w:r w:rsidR="00046ABE">
        <w:rPr>
          <w:rFonts w:cs="Arial"/>
          <w:szCs w:val="24"/>
          <w:lang w:val="en-US"/>
        </w:rPr>
        <w:t>to</w:t>
      </w:r>
      <w:r w:rsidR="003D488B" w:rsidRPr="003D488B">
        <w:rPr>
          <w:rFonts w:cs="Arial"/>
          <w:szCs w:val="24"/>
          <w:lang w:val="en-US"/>
        </w:rPr>
        <w:t xml:space="preserve"> non-wetland</w:t>
      </w:r>
      <w:r w:rsidR="00046ABE">
        <w:rPr>
          <w:rFonts w:cs="Arial"/>
          <w:szCs w:val="24"/>
          <w:lang w:val="en-US"/>
        </w:rPr>
        <w:t xml:space="preserve"> water</w:t>
      </w:r>
      <w:r w:rsidR="003D488B" w:rsidRPr="003D488B">
        <w:rPr>
          <w:rFonts w:cs="Arial"/>
          <w:szCs w:val="24"/>
          <w:lang w:val="en-US"/>
        </w:rPr>
        <w:t>s. For example,</w:t>
      </w:r>
      <w:r w:rsidR="00046ABE">
        <w:rPr>
          <w:rFonts w:cs="Arial"/>
          <w:szCs w:val="24"/>
          <w:lang w:val="en-US"/>
        </w:rPr>
        <w:t xml:space="preserve"> in </w:t>
      </w:r>
      <w:r w:rsidR="00046ABE">
        <w:rPr>
          <w:rFonts w:cs="Arial"/>
          <w:i/>
          <w:szCs w:val="24"/>
          <w:lang w:val="en-US"/>
        </w:rPr>
        <w:t xml:space="preserve">San Francisco </w:t>
      </w:r>
      <w:proofErr w:type="spellStart"/>
      <w:r w:rsidR="00046ABE">
        <w:rPr>
          <w:rFonts w:cs="Arial"/>
          <w:i/>
          <w:szCs w:val="24"/>
          <w:lang w:val="en-US"/>
        </w:rPr>
        <w:t>Baykeeper</w:t>
      </w:r>
      <w:proofErr w:type="spellEnd"/>
      <w:r w:rsidR="00046ABE">
        <w:rPr>
          <w:rFonts w:cs="Arial"/>
          <w:i/>
          <w:szCs w:val="24"/>
          <w:lang w:val="en-US"/>
        </w:rPr>
        <w:t xml:space="preserve"> v. Cargill Salt Division</w:t>
      </w:r>
      <w:r w:rsidR="00046ABE">
        <w:rPr>
          <w:rFonts w:cs="Arial"/>
          <w:szCs w:val="24"/>
          <w:lang w:val="en-US"/>
        </w:rPr>
        <w:t>,</w:t>
      </w:r>
      <w:r w:rsidR="003D488B" w:rsidRPr="003D488B">
        <w:rPr>
          <w:rFonts w:cs="Arial"/>
          <w:szCs w:val="24"/>
          <w:lang w:val="en-US"/>
        </w:rPr>
        <w:t xml:space="preserve"> the Ninth Circuit rejected jurisdiction over a</w:t>
      </w:r>
      <w:r w:rsidR="00046ABE">
        <w:rPr>
          <w:rFonts w:cs="Arial"/>
          <w:szCs w:val="24"/>
          <w:lang w:val="en-US"/>
        </w:rPr>
        <w:t xml:space="preserve"> </w:t>
      </w:r>
      <w:r w:rsidR="003D488B" w:rsidRPr="003D488B">
        <w:rPr>
          <w:rFonts w:cs="Arial"/>
          <w:szCs w:val="24"/>
          <w:lang w:val="en-US"/>
        </w:rPr>
        <w:t>pond located within 125 feet of a navigable tributary of San Francisco Bay</w:t>
      </w:r>
      <w:r w:rsidR="00046ABE">
        <w:rPr>
          <w:rFonts w:cs="Arial"/>
          <w:szCs w:val="24"/>
          <w:lang w:val="en-US"/>
        </w:rPr>
        <w:t xml:space="preserve"> because any nexus between the two waters “falls far short of the nexus that Justice Kennedy required in </w:t>
      </w:r>
      <w:proofErr w:type="spellStart"/>
      <w:r w:rsidR="00046ABE">
        <w:rPr>
          <w:rFonts w:cs="Arial"/>
          <w:i/>
          <w:szCs w:val="24"/>
          <w:lang w:val="en-US"/>
        </w:rPr>
        <w:t>Rapanos</w:t>
      </w:r>
      <w:proofErr w:type="spellEnd"/>
      <w:r w:rsidR="003D488B" w:rsidRPr="003D488B">
        <w:rPr>
          <w:rFonts w:cs="Arial"/>
          <w:szCs w:val="24"/>
          <w:lang w:val="en-US"/>
        </w:rPr>
        <w:t>.</w:t>
      </w:r>
      <w:r w:rsidR="00046ABE">
        <w:rPr>
          <w:rFonts w:cs="Arial"/>
          <w:szCs w:val="24"/>
          <w:lang w:val="en-US"/>
        </w:rPr>
        <w:t>”</w:t>
      </w:r>
      <w:r w:rsidR="003D488B" w:rsidRPr="003D488B">
        <w:rPr>
          <w:rStyle w:val="FootnoteReference"/>
          <w:rFonts w:cs="Arial"/>
          <w:szCs w:val="24"/>
        </w:rPr>
        <w:footnoteReference w:id="34"/>
      </w:r>
      <w:r w:rsidR="003D488B" w:rsidRPr="003D488B">
        <w:rPr>
          <w:rFonts w:cs="Arial"/>
          <w:szCs w:val="24"/>
          <w:lang w:val="en-US"/>
        </w:rPr>
        <w:t xml:space="preserve"> </w:t>
      </w:r>
      <w:r w:rsidR="00046ABE">
        <w:rPr>
          <w:rFonts w:cs="Arial"/>
          <w:szCs w:val="24"/>
          <w:lang w:val="en-US"/>
        </w:rPr>
        <w:t>But under t</w:t>
      </w:r>
      <w:r w:rsidR="003D488B" w:rsidRPr="003D488B">
        <w:rPr>
          <w:rFonts w:cs="Arial"/>
          <w:szCs w:val="24"/>
          <w:lang w:val="en-US"/>
        </w:rPr>
        <w:t xml:space="preserve">he 2015 Rule, </w:t>
      </w:r>
      <w:r w:rsidR="00046ABE">
        <w:rPr>
          <w:rFonts w:cs="Arial"/>
          <w:szCs w:val="24"/>
          <w:lang w:val="en-US"/>
        </w:rPr>
        <w:t xml:space="preserve">that </w:t>
      </w:r>
      <w:r w:rsidR="003D488B" w:rsidRPr="003D488B">
        <w:rPr>
          <w:rFonts w:cs="Arial"/>
          <w:color w:val="000000" w:themeColor="text1"/>
          <w:szCs w:val="24"/>
          <w:lang w:val="en-US"/>
        </w:rPr>
        <w:t xml:space="preserve">pond and others like it </w:t>
      </w:r>
      <w:r w:rsidR="00046ABE">
        <w:rPr>
          <w:rFonts w:cs="Arial"/>
          <w:color w:val="000000" w:themeColor="text1"/>
          <w:szCs w:val="24"/>
          <w:lang w:val="en-US"/>
        </w:rPr>
        <w:t>would be jurisdictional</w:t>
      </w:r>
      <w:r w:rsidR="003D488B" w:rsidRPr="003D488B">
        <w:rPr>
          <w:rFonts w:cs="Arial"/>
          <w:color w:val="000000" w:themeColor="text1"/>
          <w:szCs w:val="24"/>
          <w:lang w:val="en-US"/>
        </w:rPr>
        <w:t>.</w:t>
      </w:r>
    </w:p>
    <w:p w:rsidR="003D488B" w:rsidRPr="003D488B" w:rsidRDefault="003D488B" w:rsidP="008B259A">
      <w:pPr>
        <w:pStyle w:val="Heading1"/>
      </w:pPr>
      <w:bookmarkStart w:id="21" w:name="_Toc465662681"/>
      <w:r w:rsidRPr="003D488B">
        <w:lastRenderedPageBreak/>
        <w:t xml:space="preserve">The 2015 Rule </w:t>
      </w:r>
      <w:r w:rsidR="0036763F">
        <w:t>improperly</w:t>
      </w:r>
      <w:r w:rsidRPr="003D488B">
        <w:t xml:space="preserve"> </w:t>
      </w:r>
      <w:r w:rsidR="0036763F">
        <w:t>reinstates</w:t>
      </w:r>
      <w:r w:rsidRPr="003D488B">
        <w:t xml:space="preserve"> the Migratory Bird Rule</w:t>
      </w:r>
      <w:bookmarkEnd w:id="21"/>
      <w:r w:rsidRPr="003D488B">
        <w:t>.</w:t>
      </w:r>
    </w:p>
    <w:p w:rsidR="003D488B" w:rsidRPr="003D488B" w:rsidRDefault="0036763F" w:rsidP="003D488B">
      <w:pPr>
        <w:pStyle w:val="BodyText"/>
        <w:rPr>
          <w:rFonts w:cs="Arial"/>
          <w:szCs w:val="24"/>
          <w:lang w:val="en-US"/>
        </w:rPr>
      </w:pPr>
      <w:r>
        <w:rPr>
          <w:rFonts w:cs="Arial"/>
          <w:szCs w:val="24"/>
          <w:lang w:val="en-US"/>
        </w:rPr>
        <w:t>T</w:t>
      </w:r>
      <w:r w:rsidR="003D488B" w:rsidRPr="003D488B">
        <w:rPr>
          <w:rFonts w:cs="Arial"/>
          <w:szCs w:val="24"/>
          <w:lang w:val="en-US"/>
        </w:rPr>
        <w:t xml:space="preserve">he 2015 Rule allows for case-by-case assertions of jurisdiction </w:t>
      </w:r>
      <w:r>
        <w:rPr>
          <w:rFonts w:cs="Arial"/>
          <w:szCs w:val="24"/>
          <w:lang w:val="en-US"/>
        </w:rPr>
        <w:t>based on a new definition of</w:t>
      </w:r>
      <w:r w:rsidR="003D488B" w:rsidRPr="003D488B">
        <w:rPr>
          <w:rFonts w:cs="Arial"/>
          <w:szCs w:val="24"/>
          <w:lang w:val="en-US"/>
        </w:rPr>
        <w:t xml:space="preserve"> “significant nexus.” </w:t>
      </w:r>
      <w:r>
        <w:rPr>
          <w:rFonts w:cs="Arial"/>
          <w:szCs w:val="24"/>
          <w:lang w:val="en-US"/>
        </w:rPr>
        <w:t>That defin</w:t>
      </w:r>
      <w:r w:rsidR="003D488B" w:rsidRPr="003D488B">
        <w:rPr>
          <w:rFonts w:cs="Arial"/>
          <w:szCs w:val="24"/>
          <w:lang w:val="en-US"/>
        </w:rPr>
        <w:t xml:space="preserve">ition </w:t>
      </w:r>
      <w:r>
        <w:rPr>
          <w:rFonts w:cs="Arial"/>
          <w:szCs w:val="24"/>
          <w:lang w:val="en-US"/>
        </w:rPr>
        <w:t>is irreconcilable with the holding in</w:t>
      </w:r>
      <w:r w:rsidR="003D488B" w:rsidRPr="003D488B">
        <w:rPr>
          <w:rFonts w:cs="Arial"/>
          <w:szCs w:val="24"/>
          <w:lang w:val="en-US"/>
        </w:rPr>
        <w:t xml:space="preserve"> </w:t>
      </w:r>
      <w:proofErr w:type="spellStart"/>
      <w:r w:rsidR="003D488B" w:rsidRPr="003D488B">
        <w:rPr>
          <w:rFonts w:cs="Arial"/>
          <w:i/>
          <w:szCs w:val="24"/>
          <w:lang w:val="en-US"/>
        </w:rPr>
        <w:t>SWANCC</w:t>
      </w:r>
      <w:proofErr w:type="spellEnd"/>
      <w:r w:rsidR="003D488B" w:rsidRPr="003D488B">
        <w:rPr>
          <w:rFonts w:cs="Arial"/>
          <w:szCs w:val="24"/>
          <w:lang w:val="en-US"/>
        </w:rPr>
        <w:t xml:space="preserve"> </w:t>
      </w:r>
      <w:r>
        <w:rPr>
          <w:rFonts w:cs="Arial"/>
          <w:szCs w:val="24"/>
          <w:lang w:val="en-US"/>
        </w:rPr>
        <w:t>as well as</w:t>
      </w:r>
      <w:r w:rsidR="003D488B" w:rsidRPr="003D488B">
        <w:rPr>
          <w:rFonts w:cs="Arial"/>
          <w:szCs w:val="24"/>
          <w:lang w:val="en-US"/>
        </w:rPr>
        <w:t xml:space="preserve"> Justice Kennedy’s concurrence in </w:t>
      </w:r>
      <w:proofErr w:type="spellStart"/>
      <w:r w:rsidR="003D488B" w:rsidRPr="003D488B">
        <w:rPr>
          <w:rFonts w:cs="Arial"/>
          <w:i/>
          <w:szCs w:val="24"/>
          <w:lang w:val="en-US"/>
        </w:rPr>
        <w:t>Rapanos</w:t>
      </w:r>
      <w:proofErr w:type="spellEnd"/>
      <w:r>
        <w:rPr>
          <w:rFonts w:cs="Arial"/>
          <w:szCs w:val="24"/>
          <w:lang w:val="en-US"/>
        </w:rPr>
        <w:t xml:space="preserve">. </w:t>
      </w:r>
      <w:r w:rsidR="003D488B" w:rsidRPr="003D488B">
        <w:rPr>
          <w:rFonts w:cs="Arial"/>
          <w:szCs w:val="24"/>
          <w:lang w:val="en-US"/>
        </w:rPr>
        <w:t xml:space="preserve">In </w:t>
      </w:r>
      <w:r>
        <w:rPr>
          <w:rFonts w:cs="Arial"/>
          <w:szCs w:val="24"/>
          <w:lang w:val="en-US"/>
        </w:rPr>
        <w:t>Justice Kennedy’s</w:t>
      </w:r>
      <w:r w:rsidR="003D488B" w:rsidRPr="003D488B">
        <w:rPr>
          <w:rFonts w:cs="Arial"/>
          <w:szCs w:val="24"/>
          <w:lang w:val="en-US"/>
        </w:rPr>
        <w:t xml:space="preserve"> view, a water feature is jurisdictional only if it “significantly affect[s] the chemical, physical, </w:t>
      </w:r>
      <w:r w:rsidR="003D488B" w:rsidRPr="006D4751">
        <w:rPr>
          <w:rFonts w:cs="Arial"/>
          <w:i/>
          <w:szCs w:val="24"/>
          <w:lang w:val="en-US"/>
        </w:rPr>
        <w:t>and</w:t>
      </w:r>
      <w:r w:rsidR="003D488B" w:rsidRPr="003D488B">
        <w:rPr>
          <w:rFonts w:cs="Arial"/>
          <w:szCs w:val="24"/>
          <w:lang w:val="en-US"/>
        </w:rPr>
        <w:t xml:space="preserve"> biological integrity of … waters more readily understood as ‘navigable.’”</w:t>
      </w:r>
      <w:r w:rsidR="003D488B" w:rsidRPr="003D488B">
        <w:rPr>
          <w:rStyle w:val="FootnoteReference"/>
          <w:rFonts w:cs="Arial"/>
          <w:szCs w:val="24"/>
        </w:rPr>
        <w:footnoteReference w:id="35"/>
      </w:r>
      <w:r w:rsidR="003D488B" w:rsidRPr="003D488B">
        <w:rPr>
          <w:rFonts w:cs="Arial"/>
          <w:szCs w:val="24"/>
          <w:lang w:val="en-US"/>
        </w:rPr>
        <w:t xml:space="preserve"> </w:t>
      </w:r>
      <w:r>
        <w:rPr>
          <w:rFonts w:cs="Arial"/>
          <w:szCs w:val="24"/>
          <w:lang w:val="en-US"/>
        </w:rPr>
        <w:t xml:space="preserve">This test, according to Justice Kennedy, ensures </w:t>
      </w:r>
      <w:r w:rsidR="003D488B" w:rsidRPr="003D488B">
        <w:rPr>
          <w:rFonts w:cs="Arial"/>
          <w:szCs w:val="24"/>
          <w:lang w:val="en-US"/>
        </w:rPr>
        <w:t>that the CWA’s jurisdiction would not extend to features that are too “remote” or whose “effects on [navigable] water quality are speculative or insubstantial.”</w:t>
      </w:r>
      <w:bookmarkStart w:id="22" w:name="_BA_Cite_56BBB7_000759"/>
      <w:bookmarkEnd w:id="22"/>
      <w:r w:rsidR="003D488B" w:rsidRPr="003D488B">
        <w:rPr>
          <w:rStyle w:val="FootnoteReference"/>
          <w:rFonts w:cs="Arial"/>
          <w:szCs w:val="24"/>
        </w:rPr>
        <w:footnoteReference w:id="36"/>
      </w:r>
    </w:p>
    <w:p w:rsidR="003D488B" w:rsidRPr="003D488B" w:rsidRDefault="0036763F" w:rsidP="003D488B">
      <w:pPr>
        <w:pStyle w:val="BodyText"/>
        <w:rPr>
          <w:rFonts w:cs="Arial"/>
          <w:szCs w:val="24"/>
          <w:lang w:val="en-US"/>
        </w:rPr>
      </w:pPr>
      <w:r>
        <w:rPr>
          <w:rFonts w:cs="Arial"/>
          <w:szCs w:val="24"/>
          <w:lang w:val="en-US"/>
        </w:rPr>
        <w:t>The</w:t>
      </w:r>
      <w:r w:rsidR="003D488B" w:rsidRPr="003D488B">
        <w:rPr>
          <w:rFonts w:cs="Arial"/>
          <w:szCs w:val="24"/>
          <w:lang w:val="en-US"/>
        </w:rPr>
        <w:t xml:space="preserve"> 2015 Rule</w:t>
      </w:r>
      <w:r>
        <w:rPr>
          <w:rFonts w:cs="Arial"/>
          <w:szCs w:val="24"/>
          <w:lang w:val="en-US"/>
        </w:rPr>
        <w:t>, however, defines “significant nexus”</w:t>
      </w:r>
      <w:r w:rsidR="00E611A2">
        <w:rPr>
          <w:rFonts w:cs="Arial"/>
          <w:szCs w:val="24"/>
          <w:lang w:val="en-US"/>
        </w:rPr>
        <w:t xml:space="preserve"> </w:t>
      </w:r>
      <w:r w:rsidR="006D4751">
        <w:rPr>
          <w:rFonts w:cs="Arial"/>
          <w:szCs w:val="24"/>
          <w:lang w:val="en-US"/>
        </w:rPr>
        <w:t>differently</w:t>
      </w:r>
      <w:r w:rsidR="00E611A2">
        <w:rPr>
          <w:rFonts w:cs="Arial"/>
          <w:szCs w:val="24"/>
          <w:lang w:val="en-US"/>
        </w:rPr>
        <w:t xml:space="preserve"> than </w:t>
      </w:r>
      <w:r w:rsidR="006D4751">
        <w:rPr>
          <w:rFonts w:cs="Arial"/>
          <w:szCs w:val="24"/>
          <w:lang w:val="en-US"/>
        </w:rPr>
        <w:t xml:space="preserve">what </w:t>
      </w:r>
      <w:r w:rsidR="00E611A2">
        <w:rPr>
          <w:rFonts w:cs="Arial"/>
          <w:szCs w:val="24"/>
          <w:lang w:val="en-US"/>
        </w:rPr>
        <w:t xml:space="preserve">Justice Kennedy envisioned. </w:t>
      </w:r>
      <w:r w:rsidR="00710538">
        <w:rPr>
          <w:rFonts w:cs="Arial"/>
          <w:szCs w:val="24"/>
          <w:lang w:val="en-US"/>
        </w:rPr>
        <w:t>T</w:t>
      </w:r>
      <w:r w:rsidR="00E611A2">
        <w:rPr>
          <w:rFonts w:cs="Arial"/>
          <w:szCs w:val="24"/>
          <w:lang w:val="en-US"/>
        </w:rPr>
        <w:t>h</w:t>
      </w:r>
      <w:r w:rsidR="003D488B" w:rsidRPr="003D488B">
        <w:rPr>
          <w:rFonts w:cs="Arial"/>
          <w:szCs w:val="24"/>
          <w:lang w:val="en-US"/>
        </w:rPr>
        <w:t xml:space="preserve">e rule asserts jurisdiction over any water </w:t>
      </w:r>
      <w:r w:rsidR="00E611A2">
        <w:rPr>
          <w:rFonts w:cs="Arial"/>
          <w:szCs w:val="24"/>
          <w:lang w:val="en-US"/>
        </w:rPr>
        <w:t>if</w:t>
      </w:r>
      <w:r w:rsidR="003D488B" w:rsidRPr="003D488B">
        <w:rPr>
          <w:rFonts w:cs="Arial"/>
          <w:szCs w:val="24"/>
          <w:lang w:val="en-US"/>
        </w:rPr>
        <w:t xml:space="preserve"> it affects the “chemical, physical, </w:t>
      </w:r>
      <w:r w:rsidR="003D488B" w:rsidRPr="003D488B">
        <w:rPr>
          <w:rFonts w:cs="Arial"/>
          <w:i/>
          <w:szCs w:val="24"/>
          <w:lang w:val="en-US"/>
        </w:rPr>
        <w:t>or</w:t>
      </w:r>
      <w:r w:rsidR="003D488B" w:rsidRPr="003D488B">
        <w:rPr>
          <w:rFonts w:cs="Arial"/>
          <w:szCs w:val="24"/>
          <w:lang w:val="en-US"/>
        </w:rPr>
        <w:t xml:space="preserve"> bio</w:t>
      </w:r>
      <w:r w:rsidR="003D488B" w:rsidRPr="003D488B">
        <w:rPr>
          <w:rFonts w:cs="Arial"/>
          <w:szCs w:val="24"/>
          <w:lang w:val="en-US"/>
        </w:rPr>
        <w:softHyphen/>
        <w:t>log</w:t>
      </w:r>
      <w:r w:rsidR="003D488B" w:rsidRPr="003D488B">
        <w:rPr>
          <w:rFonts w:cs="Arial"/>
          <w:szCs w:val="24"/>
          <w:lang w:val="en-US"/>
        </w:rPr>
        <w:softHyphen/>
        <w:t>ical integrity” of a traditional navigable water, interstate water, or territorial sea</w:t>
      </w:r>
      <w:r w:rsidR="00E611A2">
        <w:rPr>
          <w:rFonts w:cs="Arial"/>
          <w:szCs w:val="24"/>
          <w:lang w:val="en-US"/>
        </w:rPr>
        <w:t>.</w:t>
      </w:r>
      <w:r w:rsidR="003D488B" w:rsidRPr="003D488B">
        <w:rPr>
          <w:rStyle w:val="FootnoteReference"/>
          <w:rFonts w:cs="Arial"/>
          <w:szCs w:val="24"/>
        </w:rPr>
        <w:footnoteReference w:id="37"/>
      </w:r>
      <w:r w:rsidR="00E611A2">
        <w:rPr>
          <w:rFonts w:cs="Arial"/>
          <w:szCs w:val="24"/>
          <w:lang w:val="en-US"/>
        </w:rPr>
        <w:t xml:space="preserve"> C</w:t>
      </w:r>
      <w:r w:rsidR="003D488B" w:rsidRPr="003D488B">
        <w:rPr>
          <w:rFonts w:cs="Arial"/>
          <w:szCs w:val="24"/>
          <w:lang w:val="en-US"/>
        </w:rPr>
        <w:t>hanging</w:t>
      </w:r>
      <w:r w:rsidR="00E611A2">
        <w:rPr>
          <w:rFonts w:cs="Arial"/>
          <w:szCs w:val="24"/>
          <w:lang w:val="en-US"/>
        </w:rPr>
        <w:t xml:space="preserve"> “and” to “or” is contrary to both Justice Kennedy’s opinion and the text of CWA Section 101(a). And by</w:t>
      </w:r>
      <w:r w:rsidR="003D488B" w:rsidRPr="003D488B">
        <w:rPr>
          <w:rFonts w:cs="Arial"/>
          <w:szCs w:val="24"/>
          <w:lang w:val="en-US"/>
        </w:rPr>
        <w:t xml:space="preserve"> requiring only one type of connection (</w:t>
      </w:r>
      <w:r w:rsidR="003D488B" w:rsidRPr="003D488B">
        <w:rPr>
          <w:rFonts w:cs="Arial"/>
          <w:i/>
          <w:szCs w:val="24"/>
          <w:lang w:val="en-US"/>
        </w:rPr>
        <w:t>e.g.</w:t>
      </w:r>
      <w:r w:rsidR="003D488B" w:rsidRPr="003D488B">
        <w:rPr>
          <w:rFonts w:cs="Arial"/>
          <w:szCs w:val="24"/>
          <w:lang w:val="en-US"/>
        </w:rPr>
        <w:t xml:space="preserve">, biological), the 2015 Rule effectively </w:t>
      </w:r>
      <w:r w:rsidR="00E611A2">
        <w:rPr>
          <w:rFonts w:cs="Arial"/>
          <w:szCs w:val="24"/>
          <w:lang w:val="en-US"/>
        </w:rPr>
        <w:t>breathes life back into</w:t>
      </w:r>
      <w:r w:rsidR="003D488B" w:rsidRPr="003D488B">
        <w:rPr>
          <w:rFonts w:cs="Arial"/>
          <w:szCs w:val="24"/>
          <w:lang w:val="en-US"/>
        </w:rPr>
        <w:t xml:space="preserve"> the </w:t>
      </w:r>
      <w:r w:rsidR="00E611A2">
        <w:rPr>
          <w:rFonts w:cs="Arial"/>
          <w:szCs w:val="24"/>
          <w:lang w:val="en-US"/>
        </w:rPr>
        <w:t xml:space="preserve">invalidated </w:t>
      </w:r>
      <w:r w:rsidR="003D488B" w:rsidRPr="003D488B">
        <w:rPr>
          <w:rFonts w:cs="Arial"/>
          <w:szCs w:val="24"/>
          <w:lang w:val="en-US"/>
        </w:rPr>
        <w:t xml:space="preserve">Migratory Bird Rule. </w:t>
      </w:r>
      <w:r w:rsidR="00E611A2">
        <w:rPr>
          <w:rFonts w:cs="Arial"/>
          <w:szCs w:val="24"/>
          <w:lang w:val="en-US"/>
        </w:rPr>
        <w:t>T</w:t>
      </w:r>
      <w:r w:rsidR="003D488B" w:rsidRPr="003D488B">
        <w:rPr>
          <w:rFonts w:cs="Arial"/>
          <w:szCs w:val="24"/>
          <w:lang w:val="en-US"/>
        </w:rPr>
        <w:t>he 2015 Rule a</w:t>
      </w:r>
      <w:r w:rsidR="00E611A2">
        <w:rPr>
          <w:rFonts w:cs="Arial"/>
          <w:szCs w:val="24"/>
          <w:lang w:val="en-US"/>
        </w:rPr>
        <w:t>llows for jurisdiction based only on one</w:t>
      </w:r>
      <w:r w:rsidR="003D488B" w:rsidRPr="003D488B">
        <w:rPr>
          <w:rFonts w:cs="Arial"/>
          <w:szCs w:val="24"/>
          <w:lang w:val="en-US"/>
        </w:rPr>
        <w:t xml:space="preserve"> function</w:t>
      </w:r>
      <w:r w:rsidR="00E611A2">
        <w:rPr>
          <w:rFonts w:cs="Arial"/>
          <w:szCs w:val="24"/>
          <w:lang w:val="en-US"/>
        </w:rPr>
        <w:t xml:space="preserve"> like</w:t>
      </w:r>
      <w:r w:rsidR="003D488B" w:rsidRPr="003D488B">
        <w:rPr>
          <w:rFonts w:cs="Arial"/>
          <w:szCs w:val="24"/>
          <w:lang w:val="en-US"/>
        </w:rPr>
        <w:t xml:space="preserve"> the “[p]</w:t>
      </w:r>
      <w:proofErr w:type="spellStart"/>
      <w:r w:rsidR="003D488B" w:rsidRPr="003D488B">
        <w:rPr>
          <w:rFonts w:cs="Arial"/>
          <w:szCs w:val="24"/>
          <w:lang w:val="en-US"/>
        </w:rPr>
        <w:t>rovision</w:t>
      </w:r>
      <w:proofErr w:type="spellEnd"/>
      <w:r w:rsidR="003D488B" w:rsidRPr="003D488B">
        <w:rPr>
          <w:rFonts w:cs="Arial"/>
          <w:szCs w:val="24"/>
          <w:lang w:val="en-US"/>
        </w:rPr>
        <w:t xml:space="preserve"> of life cycle dependent aquatic habitat” between one water and some other distant water.</w:t>
      </w:r>
      <w:r w:rsidR="003D488B" w:rsidRPr="003D488B">
        <w:rPr>
          <w:rStyle w:val="FootnoteReference"/>
          <w:rFonts w:cs="Arial"/>
          <w:szCs w:val="24"/>
        </w:rPr>
        <w:footnoteReference w:id="38"/>
      </w:r>
      <w:r w:rsidR="003D488B" w:rsidRPr="003D488B">
        <w:rPr>
          <w:rFonts w:cs="Arial"/>
          <w:szCs w:val="24"/>
          <w:lang w:val="en-US"/>
        </w:rPr>
        <w:t xml:space="preserve"> That is</w:t>
      </w:r>
      <w:r w:rsidR="00E611A2">
        <w:rPr>
          <w:rFonts w:cs="Arial"/>
          <w:szCs w:val="24"/>
          <w:lang w:val="en-US"/>
        </w:rPr>
        <w:t xml:space="preserve"> no different from </w:t>
      </w:r>
      <w:r w:rsidR="003D488B" w:rsidRPr="003D488B">
        <w:rPr>
          <w:rFonts w:cs="Arial"/>
          <w:szCs w:val="24"/>
          <w:lang w:val="en-US"/>
        </w:rPr>
        <w:t xml:space="preserve">the Migratory Bird Rule, </w:t>
      </w:r>
      <w:r w:rsidR="00E611A2">
        <w:rPr>
          <w:rFonts w:cs="Arial"/>
          <w:szCs w:val="24"/>
          <w:lang w:val="en-US"/>
        </w:rPr>
        <w:t xml:space="preserve">which the Corps used to assert jurisdiction over </w:t>
      </w:r>
      <w:r w:rsidR="003D488B" w:rsidRPr="003D488B">
        <w:rPr>
          <w:rFonts w:cs="Arial"/>
          <w:szCs w:val="24"/>
          <w:lang w:val="en-US"/>
        </w:rPr>
        <w:t xml:space="preserve">isolated non-navigable ponds </w:t>
      </w:r>
      <w:r w:rsidR="00E611A2">
        <w:rPr>
          <w:rFonts w:cs="Arial"/>
          <w:szCs w:val="24"/>
          <w:lang w:val="en-US"/>
        </w:rPr>
        <w:t>mere</w:t>
      </w:r>
      <w:r w:rsidR="003D488B" w:rsidRPr="003D488B">
        <w:rPr>
          <w:rFonts w:cs="Arial"/>
          <w:szCs w:val="24"/>
          <w:lang w:val="en-US"/>
        </w:rPr>
        <w:t>ly “because they serve[d] as habitat for migratory birds.”</w:t>
      </w:r>
      <w:r w:rsidR="003D488B" w:rsidRPr="003D488B">
        <w:rPr>
          <w:rStyle w:val="FootnoteReference"/>
          <w:rFonts w:cs="Arial"/>
          <w:szCs w:val="24"/>
        </w:rPr>
        <w:footnoteReference w:id="39"/>
      </w:r>
      <w:r w:rsidR="003D488B" w:rsidRPr="003D488B">
        <w:rPr>
          <w:rFonts w:cs="Arial"/>
          <w:szCs w:val="24"/>
          <w:lang w:val="en-US"/>
        </w:rPr>
        <w:t xml:space="preserve"> </w:t>
      </w:r>
    </w:p>
    <w:p w:rsidR="003D488B" w:rsidRPr="007A1A96" w:rsidRDefault="00E611A2" w:rsidP="003D488B">
      <w:pPr>
        <w:pStyle w:val="BodyText"/>
        <w:rPr>
          <w:rFonts w:cs="Arial"/>
          <w:szCs w:val="24"/>
          <w:lang w:val="en-US"/>
        </w:rPr>
      </w:pPr>
      <w:r>
        <w:rPr>
          <w:rFonts w:cs="Arial"/>
          <w:szCs w:val="24"/>
          <w:lang w:val="en-US"/>
        </w:rPr>
        <w:t>The</w:t>
      </w:r>
      <w:r w:rsidR="003D488B" w:rsidRPr="003D488B">
        <w:rPr>
          <w:rFonts w:cs="Arial"/>
          <w:szCs w:val="24"/>
          <w:lang w:val="en-US"/>
        </w:rPr>
        <w:t xml:space="preserve"> 2015 Rule</w:t>
      </w:r>
      <w:r>
        <w:rPr>
          <w:rFonts w:cs="Arial"/>
          <w:szCs w:val="24"/>
          <w:lang w:val="en-US"/>
        </w:rPr>
        <w:t>’s transgressions do not stop there. Rather</w:t>
      </w:r>
      <w:r w:rsidR="003D488B" w:rsidRPr="003D488B">
        <w:rPr>
          <w:rFonts w:cs="Arial"/>
          <w:szCs w:val="24"/>
          <w:lang w:val="en-US"/>
        </w:rPr>
        <w:t xml:space="preserve">, the Agencies stated that they can find evidence of biological connectivity </w:t>
      </w:r>
      <w:r>
        <w:rPr>
          <w:rFonts w:cs="Arial"/>
          <w:szCs w:val="24"/>
          <w:lang w:val="en-US"/>
        </w:rPr>
        <w:t>(and hence, “significant nexus” jurisdiction) based on</w:t>
      </w:r>
      <w:r w:rsidR="003D488B" w:rsidRPr="003D488B">
        <w:rPr>
          <w:rFonts w:cs="Arial"/>
          <w:szCs w:val="24"/>
          <w:lang w:val="en-US"/>
        </w:rPr>
        <w:t xml:space="preserve"> the presence of “amphibians, aquatic and semi-aquatic reptiles, [and] aquatic birds.”</w:t>
      </w:r>
      <w:r w:rsidR="003D488B" w:rsidRPr="003D488B">
        <w:rPr>
          <w:rStyle w:val="FootnoteReference"/>
          <w:rFonts w:cs="Arial"/>
          <w:szCs w:val="24"/>
        </w:rPr>
        <w:footnoteReference w:id="40"/>
      </w:r>
      <w:r w:rsidR="003D488B" w:rsidRPr="003D488B">
        <w:rPr>
          <w:rFonts w:cs="Arial"/>
          <w:szCs w:val="24"/>
          <w:lang w:val="en-US"/>
        </w:rPr>
        <w:t xml:space="preserve"> </w:t>
      </w:r>
      <w:r>
        <w:rPr>
          <w:rFonts w:cs="Arial"/>
          <w:szCs w:val="24"/>
          <w:lang w:val="en-US"/>
        </w:rPr>
        <w:t>T</w:t>
      </w:r>
      <w:r w:rsidR="003D488B" w:rsidRPr="003D488B">
        <w:rPr>
          <w:rFonts w:cs="Arial"/>
          <w:szCs w:val="24"/>
          <w:lang w:val="en-US"/>
        </w:rPr>
        <w:t xml:space="preserve">he Agencies </w:t>
      </w:r>
      <w:r>
        <w:rPr>
          <w:rFonts w:cs="Arial"/>
          <w:szCs w:val="24"/>
          <w:lang w:val="en-US"/>
        </w:rPr>
        <w:t>also point to</w:t>
      </w:r>
      <w:r w:rsidR="003D488B" w:rsidRPr="003D488B">
        <w:rPr>
          <w:rFonts w:cs="Arial"/>
          <w:szCs w:val="24"/>
          <w:lang w:val="en-US"/>
        </w:rPr>
        <w:t xml:space="preserve"> the biological connectivity of waters in floodplains to include “integral components of river food webs, providing nursery habitat for breeding fish and amphibians, colonization opportunities for stream invertebrates and maturation habitat for stream insects.”</w:t>
      </w:r>
      <w:r w:rsidR="003D488B" w:rsidRPr="003D488B">
        <w:rPr>
          <w:rStyle w:val="FootnoteReference"/>
          <w:rFonts w:cs="Arial"/>
          <w:szCs w:val="24"/>
        </w:rPr>
        <w:footnoteReference w:id="41"/>
      </w:r>
      <w:r w:rsidR="003D488B" w:rsidRPr="003D488B">
        <w:rPr>
          <w:rFonts w:cs="Arial"/>
          <w:szCs w:val="24"/>
          <w:lang w:val="en-US"/>
        </w:rPr>
        <w:t xml:space="preserve"> </w:t>
      </w:r>
      <w:r>
        <w:rPr>
          <w:rFonts w:cs="Arial"/>
          <w:szCs w:val="24"/>
          <w:lang w:val="en-US"/>
        </w:rPr>
        <w:t xml:space="preserve">These statements suggest that </w:t>
      </w:r>
      <w:r w:rsidR="003D488B" w:rsidRPr="003D488B">
        <w:rPr>
          <w:rFonts w:cs="Arial"/>
          <w:szCs w:val="24"/>
          <w:lang w:val="en-US"/>
        </w:rPr>
        <w:t>anything that live</w:t>
      </w:r>
      <w:r w:rsidR="007A1A96">
        <w:rPr>
          <w:rFonts w:cs="Arial"/>
          <w:szCs w:val="24"/>
          <w:lang w:val="en-US"/>
        </w:rPr>
        <w:t>s</w:t>
      </w:r>
      <w:r w:rsidR="003D488B" w:rsidRPr="003D488B">
        <w:rPr>
          <w:rFonts w:cs="Arial"/>
          <w:szCs w:val="24"/>
          <w:lang w:val="en-US"/>
        </w:rPr>
        <w:t xml:space="preserve"> in and around water </w:t>
      </w:r>
      <w:r w:rsidR="007A1A96">
        <w:rPr>
          <w:rFonts w:cs="Arial"/>
          <w:szCs w:val="24"/>
          <w:lang w:val="en-US"/>
        </w:rPr>
        <w:t>might</w:t>
      </w:r>
      <w:r w:rsidR="003D488B" w:rsidRPr="003D488B">
        <w:rPr>
          <w:rFonts w:cs="Arial"/>
          <w:szCs w:val="24"/>
          <w:lang w:val="en-US"/>
        </w:rPr>
        <w:t xml:space="preserve"> </w:t>
      </w:r>
      <w:r w:rsidR="007A1A96">
        <w:rPr>
          <w:rFonts w:cs="Arial"/>
          <w:szCs w:val="24"/>
          <w:lang w:val="en-US"/>
        </w:rPr>
        <w:t>be</w:t>
      </w:r>
      <w:r w:rsidR="003D488B" w:rsidRPr="003D488B">
        <w:rPr>
          <w:rFonts w:cs="Arial"/>
          <w:szCs w:val="24"/>
          <w:lang w:val="en-US"/>
        </w:rPr>
        <w:t xml:space="preserve"> the</w:t>
      </w:r>
      <w:r w:rsidR="007A1A96">
        <w:rPr>
          <w:rFonts w:cs="Arial"/>
          <w:szCs w:val="24"/>
          <w:lang w:val="en-US"/>
        </w:rPr>
        <w:t xml:space="preserve"> sole</w:t>
      </w:r>
      <w:r w:rsidR="003D488B" w:rsidRPr="003D488B">
        <w:rPr>
          <w:rFonts w:cs="Arial"/>
          <w:szCs w:val="24"/>
          <w:lang w:val="en-US"/>
        </w:rPr>
        <w:t xml:space="preserve"> basis for asserting jurisdiction over non-navigable, intrastate, isolated water features. </w:t>
      </w:r>
      <w:r w:rsidR="007A1A96">
        <w:rPr>
          <w:rFonts w:cs="Arial"/>
          <w:szCs w:val="24"/>
          <w:lang w:val="en-US"/>
        </w:rPr>
        <w:t>Surely such assertions of jurisdiction</w:t>
      </w:r>
      <w:r w:rsidR="003D488B" w:rsidRPr="003D488B">
        <w:rPr>
          <w:rFonts w:cs="Arial"/>
          <w:szCs w:val="24"/>
          <w:lang w:val="en-US"/>
        </w:rPr>
        <w:t xml:space="preserve"> “would result in a significant impingement of the States’ traditional and primary power over land use” </w:t>
      </w:r>
      <w:r w:rsidR="007A1A96">
        <w:rPr>
          <w:rFonts w:cs="Arial"/>
          <w:szCs w:val="24"/>
          <w:lang w:val="en-US"/>
        </w:rPr>
        <w:t>contrary to</w:t>
      </w:r>
      <w:r w:rsidR="003D488B" w:rsidRPr="003D488B">
        <w:rPr>
          <w:rFonts w:cs="Arial"/>
          <w:szCs w:val="24"/>
          <w:lang w:val="en-US"/>
        </w:rPr>
        <w:t xml:space="preserve"> </w:t>
      </w:r>
      <w:proofErr w:type="spellStart"/>
      <w:r w:rsidR="003D488B" w:rsidRPr="003D488B">
        <w:rPr>
          <w:rFonts w:cs="Arial"/>
          <w:i/>
          <w:szCs w:val="24"/>
          <w:lang w:val="en-US"/>
        </w:rPr>
        <w:t>SWANCC</w:t>
      </w:r>
      <w:proofErr w:type="spellEnd"/>
      <w:r w:rsidR="003D488B" w:rsidRPr="003D488B">
        <w:rPr>
          <w:rFonts w:cs="Arial"/>
          <w:szCs w:val="24"/>
          <w:lang w:val="en-US"/>
        </w:rPr>
        <w:t>.</w:t>
      </w:r>
      <w:r w:rsidR="003D488B" w:rsidRPr="003D488B">
        <w:rPr>
          <w:rStyle w:val="FootnoteReference"/>
          <w:rFonts w:cs="Arial"/>
          <w:szCs w:val="24"/>
        </w:rPr>
        <w:footnoteReference w:id="42"/>
      </w:r>
    </w:p>
    <w:p w:rsidR="003D488B" w:rsidRPr="003D488B" w:rsidRDefault="007A1A96" w:rsidP="008B259A">
      <w:pPr>
        <w:pStyle w:val="Heading1"/>
      </w:pPr>
      <w:r>
        <w:lastRenderedPageBreak/>
        <w:t>The scientific record does not support the 2015 Rule’s distance and floodplain requirements</w:t>
      </w:r>
      <w:r w:rsidR="003D488B" w:rsidRPr="003D488B">
        <w:t>.</w:t>
      </w:r>
    </w:p>
    <w:p w:rsidR="003D488B" w:rsidRPr="003D488B" w:rsidRDefault="007A1A96" w:rsidP="003D488B">
      <w:pPr>
        <w:pStyle w:val="BodyText"/>
        <w:rPr>
          <w:rFonts w:cs="Arial"/>
          <w:szCs w:val="24"/>
          <w:lang w:val="en-US"/>
        </w:rPr>
      </w:pPr>
      <w:r>
        <w:rPr>
          <w:rFonts w:cs="Arial"/>
          <w:szCs w:val="24"/>
          <w:lang w:val="en-US"/>
        </w:rPr>
        <w:t>“Adjacent” waters include those that</w:t>
      </w:r>
      <w:r w:rsidR="003D488B" w:rsidRPr="003D488B">
        <w:rPr>
          <w:rFonts w:cs="Arial"/>
          <w:szCs w:val="24"/>
          <w:lang w:val="en-US"/>
        </w:rPr>
        <w:t xml:space="preserve"> are within the 100-year floodplain of a category (1)-(5) feature and within 1,500 feet of its ordinary high water mark.</w:t>
      </w:r>
      <w:r w:rsidR="003D488B" w:rsidRPr="003D488B">
        <w:rPr>
          <w:rStyle w:val="FootnoteReference"/>
          <w:rFonts w:cs="Arial"/>
          <w:szCs w:val="24"/>
        </w:rPr>
        <w:footnoteReference w:id="43"/>
      </w:r>
      <w:r w:rsidR="003D488B" w:rsidRPr="003D488B">
        <w:rPr>
          <w:rFonts w:cs="Arial"/>
          <w:szCs w:val="24"/>
          <w:lang w:val="en-US"/>
        </w:rPr>
        <w:t xml:space="preserve"> Additionally, waters are categorically jurisdictiona</w:t>
      </w:r>
      <w:r>
        <w:rPr>
          <w:rFonts w:cs="Arial"/>
          <w:szCs w:val="24"/>
          <w:lang w:val="en-US"/>
        </w:rPr>
        <w:t>l as “adjacent”</w:t>
      </w:r>
      <w:r w:rsidR="003D488B" w:rsidRPr="003D488B">
        <w:rPr>
          <w:rFonts w:cs="Arial"/>
          <w:szCs w:val="24"/>
          <w:lang w:val="en-US"/>
        </w:rPr>
        <w:t xml:space="preserve"> if they are within 100 feet of the ordinary high water of a category (1)-(5) feature or within 1,500 feet of the high tide line of a category (1)-(3) feature.</w:t>
      </w:r>
      <w:r w:rsidR="003D488B" w:rsidRPr="003D488B">
        <w:rPr>
          <w:rStyle w:val="FootnoteReference"/>
          <w:rFonts w:cs="Arial"/>
          <w:szCs w:val="24"/>
        </w:rPr>
        <w:footnoteReference w:id="44"/>
      </w:r>
      <w:r w:rsidR="003D488B" w:rsidRPr="003D488B">
        <w:rPr>
          <w:rFonts w:cs="Arial"/>
          <w:szCs w:val="24"/>
          <w:lang w:val="en-US"/>
        </w:rPr>
        <w:t xml:space="preserve"> </w:t>
      </w:r>
      <w:r>
        <w:rPr>
          <w:rFonts w:cs="Arial"/>
          <w:szCs w:val="24"/>
          <w:lang w:val="en-US"/>
        </w:rPr>
        <w:t xml:space="preserve">The 2015 Rule also allows for </w:t>
      </w:r>
      <w:r w:rsidR="003D488B" w:rsidRPr="003D488B">
        <w:rPr>
          <w:rFonts w:cs="Arial"/>
          <w:szCs w:val="24"/>
          <w:lang w:val="en-US"/>
        </w:rPr>
        <w:t xml:space="preserve">case-specific </w:t>
      </w:r>
      <w:r>
        <w:rPr>
          <w:rFonts w:cs="Arial"/>
          <w:szCs w:val="24"/>
          <w:lang w:val="en-US"/>
        </w:rPr>
        <w:t xml:space="preserve">assertions of jurisdiction over </w:t>
      </w:r>
      <w:r w:rsidR="003D488B" w:rsidRPr="003D488B">
        <w:rPr>
          <w:rFonts w:cs="Arial"/>
          <w:szCs w:val="24"/>
          <w:lang w:val="en-US"/>
        </w:rPr>
        <w:t xml:space="preserve">water features </w:t>
      </w:r>
      <w:r>
        <w:rPr>
          <w:rFonts w:cs="Arial"/>
          <w:szCs w:val="24"/>
          <w:lang w:val="en-US"/>
        </w:rPr>
        <w:t>that are (i)</w:t>
      </w:r>
      <w:r w:rsidR="003D488B" w:rsidRPr="003D488B">
        <w:rPr>
          <w:rFonts w:cs="Arial"/>
          <w:szCs w:val="24"/>
          <w:lang w:val="en-US"/>
        </w:rPr>
        <w:t xml:space="preserve"> within the 100-year flood</w:t>
      </w:r>
      <w:r w:rsidR="003D488B" w:rsidRPr="003D488B">
        <w:rPr>
          <w:rFonts w:cs="Arial"/>
          <w:szCs w:val="24"/>
          <w:lang w:val="en-US"/>
        </w:rPr>
        <w:softHyphen/>
        <w:t xml:space="preserve">plain of a category (1)-(3) feature or 4,000 feet of the ordinary high water mark of a </w:t>
      </w:r>
      <w:r w:rsidR="00710538">
        <w:rPr>
          <w:rFonts w:cs="Arial"/>
          <w:szCs w:val="24"/>
          <w:lang w:val="en-US"/>
        </w:rPr>
        <w:t xml:space="preserve">category </w:t>
      </w:r>
      <w:r w:rsidR="003D488B" w:rsidRPr="003D488B">
        <w:rPr>
          <w:rFonts w:cs="Arial"/>
          <w:szCs w:val="24"/>
          <w:lang w:val="en-US"/>
        </w:rPr>
        <w:t>(1)-(5) feature</w:t>
      </w:r>
      <w:r>
        <w:rPr>
          <w:rFonts w:cs="Arial"/>
          <w:szCs w:val="24"/>
          <w:lang w:val="en-US"/>
        </w:rPr>
        <w:t xml:space="preserve">; </w:t>
      </w:r>
      <w:r w:rsidR="003D488B" w:rsidRPr="00710538">
        <w:rPr>
          <w:rFonts w:cs="Arial"/>
          <w:szCs w:val="24"/>
          <w:lang w:val="en-US"/>
        </w:rPr>
        <w:t>and</w:t>
      </w:r>
      <w:r w:rsidR="003D488B" w:rsidRPr="003D488B">
        <w:rPr>
          <w:rFonts w:cs="Arial"/>
          <w:szCs w:val="24"/>
          <w:lang w:val="en-US"/>
        </w:rPr>
        <w:t xml:space="preserve"> </w:t>
      </w:r>
      <w:r>
        <w:rPr>
          <w:rFonts w:cs="Arial"/>
          <w:szCs w:val="24"/>
          <w:lang w:val="en-US"/>
        </w:rPr>
        <w:t>(ii) f</w:t>
      </w:r>
      <w:r w:rsidR="003D488B" w:rsidRPr="003D488B">
        <w:rPr>
          <w:rFonts w:cs="Arial"/>
          <w:szCs w:val="24"/>
          <w:lang w:val="en-US"/>
        </w:rPr>
        <w:t>ound to have a “significant nexus” to a category (1)-(3) feature.</w:t>
      </w:r>
      <w:r w:rsidR="003D488B" w:rsidRPr="003D488B">
        <w:rPr>
          <w:rStyle w:val="FootnoteReference"/>
          <w:rFonts w:cs="Arial"/>
          <w:szCs w:val="24"/>
        </w:rPr>
        <w:footnoteReference w:id="45"/>
      </w:r>
      <w:r w:rsidR="003D488B" w:rsidRPr="003D488B">
        <w:rPr>
          <w:rFonts w:cs="Arial"/>
          <w:szCs w:val="24"/>
          <w:lang w:val="en-US"/>
        </w:rPr>
        <w:t xml:space="preserve"> </w:t>
      </w:r>
      <w:r>
        <w:rPr>
          <w:rFonts w:cs="Arial"/>
          <w:szCs w:val="24"/>
          <w:lang w:val="en-US"/>
        </w:rPr>
        <w:t>Because these distance and floodplain cutoffs lack any justification or record support, they must be repealed.</w:t>
      </w:r>
    </w:p>
    <w:p w:rsidR="003D488B" w:rsidRDefault="007A1A96" w:rsidP="003D488B">
      <w:pPr>
        <w:pStyle w:val="BodyText"/>
        <w:rPr>
          <w:rFonts w:cs="Arial"/>
          <w:szCs w:val="24"/>
          <w:lang w:val="en-US"/>
        </w:rPr>
      </w:pPr>
      <w:r>
        <w:rPr>
          <w:rFonts w:cs="Arial"/>
          <w:szCs w:val="24"/>
          <w:lang w:val="en-US"/>
        </w:rPr>
        <w:t>The 2015 Rule</w:t>
      </w:r>
      <w:r w:rsidR="000B56F6">
        <w:rPr>
          <w:rFonts w:cs="Arial"/>
          <w:szCs w:val="24"/>
          <w:lang w:val="en-US"/>
        </w:rPr>
        <w:t xml:space="preserve"> preamble</w:t>
      </w:r>
      <w:r>
        <w:rPr>
          <w:rFonts w:cs="Arial"/>
          <w:szCs w:val="24"/>
          <w:lang w:val="en-US"/>
        </w:rPr>
        <w:t xml:space="preserve"> </w:t>
      </w:r>
      <w:r w:rsidR="00710538">
        <w:rPr>
          <w:rFonts w:cs="Arial"/>
          <w:szCs w:val="24"/>
          <w:lang w:val="en-US"/>
        </w:rPr>
        <w:t>suggests</w:t>
      </w:r>
      <w:r>
        <w:rPr>
          <w:rFonts w:cs="Arial"/>
          <w:szCs w:val="24"/>
          <w:lang w:val="en-US"/>
        </w:rPr>
        <w:t xml:space="preserve"> that the Agencies chose the 100-year floodplain for “clarity” and “regulatory certainty,” not because of any </w:t>
      </w:r>
      <w:r w:rsidR="003D488B" w:rsidRPr="003D488B">
        <w:rPr>
          <w:rFonts w:cs="Arial"/>
          <w:szCs w:val="24"/>
          <w:lang w:val="en-US"/>
        </w:rPr>
        <w:t>science.</w:t>
      </w:r>
      <w:r w:rsidR="003D488B" w:rsidRPr="003D488B">
        <w:rPr>
          <w:rStyle w:val="FootnoteReference"/>
          <w:rFonts w:cs="Arial"/>
          <w:szCs w:val="24"/>
        </w:rPr>
        <w:footnoteReference w:id="46"/>
      </w:r>
      <w:r w:rsidR="000B56F6">
        <w:rPr>
          <w:rFonts w:cs="Arial"/>
          <w:szCs w:val="24"/>
          <w:lang w:val="en-US"/>
        </w:rPr>
        <w:t xml:space="preserve"> Indeed, the Agencies elsewhere</w:t>
      </w:r>
      <w:r w:rsidR="000B56F6" w:rsidRPr="003D488B">
        <w:rPr>
          <w:rFonts w:cs="Arial"/>
          <w:szCs w:val="24"/>
          <w:lang w:val="en-US"/>
        </w:rPr>
        <w:t xml:space="preserve"> </w:t>
      </w:r>
      <w:r w:rsidR="000B56F6">
        <w:rPr>
          <w:rFonts w:cs="Arial"/>
          <w:szCs w:val="24"/>
          <w:lang w:val="en-US"/>
        </w:rPr>
        <w:t xml:space="preserve">admitted there is no </w:t>
      </w:r>
      <w:r w:rsidR="000B56F6" w:rsidRPr="003D488B">
        <w:rPr>
          <w:rFonts w:cs="Arial"/>
          <w:szCs w:val="24"/>
          <w:lang w:val="en-US"/>
        </w:rPr>
        <w:t>“scientific con</w:t>
      </w:r>
      <w:r w:rsidR="000B56F6" w:rsidRPr="003D488B">
        <w:rPr>
          <w:rFonts w:cs="Arial"/>
          <w:szCs w:val="24"/>
          <w:lang w:val="en-US"/>
        </w:rPr>
        <w:softHyphen/>
        <w:t>sensus” over which flood interval to use.</w:t>
      </w:r>
      <w:r w:rsidR="000B56F6" w:rsidRPr="003D488B">
        <w:rPr>
          <w:rStyle w:val="FootnoteReference"/>
          <w:rFonts w:cs="Arial"/>
          <w:szCs w:val="24"/>
        </w:rPr>
        <w:footnoteReference w:id="47"/>
      </w:r>
      <w:r w:rsidR="000B56F6">
        <w:rPr>
          <w:rFonts w:cs="Arial"/>
          <w:szCs w:val="24"/>
          <w:lang w:val="en-US"/>
        </w:rPr>
        <w:t xml:space="preserve"> This so-called justification falls far short of a reasoned explanation for selecting the 100-year floodplain in particular.</w:t>
      </w:r>
      <w:r w:rsidR="00305837">
        <w:rPr>
          <w:rFonts w:cs="Arial"/>
          <w:szCs w:val="24"/>
          <w:lang w:val="en-US"/>
        </w:rPr>
        <w:t xml:space="preserve"> </w:t>
      </w:r>
      <w:r w:rsidR="003D488B" w:rsidRPr="003D488B">
        <w:rPr>
          <w:rFonts w:cs="Arial"/>
          <w:szCs w:val="24"/>
          <w:lang w:val="en-US"/>
        </w:rPr>
        <w:t>The Agencies</w:t>
      </w:r>
      <w:r w:rsidR="000B56F6">
        <w:rPr>
          <w:rFonts w:cs="Arial"/>
          <w:szCs w:val="24"/>
          <w:lang w:val="en-US"/>
        </w:rPr>
        <w:t>’</w:t>
      </w:r>
      <w:r w:rsidR="003D488B" w:rsidRPr="003D488B">
        <w:rPr>
          <w:rFonts w:cs="Arial"/>
          <w:szCs w:val="24"/>
          <w:lang w:val="en-US"/>
        </w:rPr>
        <w:t xml:space="preserve"> </w:t>
      </w:r>
      <w:r w:rsidR="000B56F6">
        <w:rPr>
          <w:rFonts w:cs="Arial"/>
          <w:szCs w:val="24"/>
          <w:lang w:val="en-US"/>
        </w:rPr>
        <w:t>justification for establishing</w:t>
      </w:r>
      <w:r w:rsidR="003D488B" w:rsidRPr="003D488B">
        <w:rPr>
          <w:rFonts w:cs="Arial"/>
          <w:szCs w:val="24"/>
          <w:lang w:val="en-US"/>
        </w:rPr>
        <w:t xml:space="preserve"> </w:t>
      </w:r>
      <w:r w:rsidR="000B56F6">
        <w:rPr>
          <w:rFonts w:cs="Arial"/>
          <w:szCs w:val="24"/>
          <w:lang w:val="en-US"/>
        </w:rPr>
        <w:t xml:space="preserve">the </w:t>
      </w:r>
      <w:r w:rsidR="003D488B" w:rsidRPr="003D488B">
        <w:rPr>
          <w:rFonts w:cs="Arial"/>
          <w:szCs w:val="24"/>
          <w:lang w:val="en-US"/>
        </w:rPr>
        <w:t xml:space="preserve">1,500-foot and </w:t>
      </w:r>
      <w:r w:rsidR="000B56F6">
        <w:rPr>
          <w:rFonts w:cs="Arial"/>
          <w:szCs w:val="24"/>
          <w:lang w:val="en-US"/>
        </w:rPr>
        <w:t>4,000-foot distance thresholds in the 2015 Rule is similarly deficient</w:t>
      </w:r>
      <w:r w:rsidR="003D488B" w:rsidRPr="003D488B">
        <w:rPr>
          <w:rFonts w:cs="Arial"/>
          <w:szCs w:val="24"/>
          <w:lang w:val="en-US"/>
        </w:rPr>
        <w:t xml:space="preserve">. </w:t>
      </w:r>
      <w:r w:rsidR="000B56F6">
        <w:rPr>
          <w:rFonts w:cs="Arial"/>
          <w:szCs w:val="24"/>
          <w:lang w:val="en-US"/>
        </w:rPr>
        <w:t xml:space="preserve">The 2015 Rule </w:t>
      </w:r>
      <w:r w:rsidR="003D488B" w:rsidRPr="003D488B">
        <w:rPr>
          <w:rFonts w:cs="Arial"/>
          <w:szCs w:val="24"/>
          <w:lang w:val="en-US"/>
        </w:rPr>
        <w:t xml:space="preserve">vaguely </w:t>
      </w:r>
      <w:r w:rsidR="000B56F6">
        <w:rPr>
          <w:rFonts w:cs="Arial"/>
          <w:szCs w:val="24"/>
          <w:lang w:val="en-US"/>
        </w:rPr>
        <w:t xml:space="preserve">alludes to </w:t>
      </w:r>
      <w:r w:rsidR="003D488B" w:rsidRPr="003D488B">
        <w:rPr>
          <w:rFonts w:cs="Arial"/>
          <w:szCs w:val="24"/>
          <w:lang w:val="en-US"/>
        </w:rPr>
        <w:t>un</w:t>
      </w:r>
      <w:r w:rsidR="003D488B" w:rsidRPr="003D488B">
        <w:rPr>
          <w:rFonts w:cs="Arial"/>
          <w:szCs w:val="24"/>
          <w:lang w:val="en-US"/>
        </w:rPr>
        <w:softHyphen/>
        <w:t>ident</w:t>
      </w:r>
      <w:r w:rsidR="003D488B" w:rsidRPr="003D488B">
        <w:rPr>
          <w:rFonts w:cs="Arial"/>
          <w:szCs w:val="24"/>
          <w:lang w:val="en-US"/>
        </w:rPr>
        <w:softHyphen/>
        <w:t>ified “scientific literature,” the</w:t>
      </w:r>
      <w:r w:rsidR="000B56F6">
        <w:rPr>
          <w:rFonts w:cs="Arial"/>
          <w:szCs w:val="24"/>
          <w:lang w:val="en-US"/>
        </w:rPr>
        <w:t xml:space="preserve"> Agencies’ </w:t>
      </w:r>
      <w:r w:rsidR="003D488B" w:rsidRPr="003D488B">
        <w:rPr>
          <w:rFonts w:cs="Arial"/>
          <w:szCs w:val="24"/>
          <w:lang w:val="en-US"/>
        </w:rPr>
        <w:t>“technical expertise and exper</w:t>
      </w:r>
      <w:r w:rsidR="003D488B" w:rsidRPr="003D488B">
        <w:rPr>
          <w:rFonts w:cs="Arial"/>
          <w:szCs w:val="24"/>
          <w:lang w:val="en-US"/>
        </w:rPr>
        <w:softHyphen/>
        <w:t>ience,” and the convenience “of drawing clear lines,”</w:t>
      </w:r>
      <w:r w:rsidR="003D488B" w:rsidRPr="003D488B">
        <w:rPr>
          <w:rStyle w:val="FootnoteReference"/>
          <w:rFonts w:cs="Arial"/>
          <w:szCs w:val="24"/>
        </w:rPr>
        <w:footnoteReference w:id="48"/>
      </w:r>
      <w:r w:rsidR="003D488B" w:rsidRPr="003D488B">
        <w:rPr>
          <w:rFonts w:cs="Arial"/>
          <w:szCs w:val="24"/>
          <w:lang w:val="en-US"/>
        </w:rPr>
        <w:t xml:space="preserve"> </w:t>
      </w:r>
      <w:r w:rsidR="000B56F6">
        <w:rPr>
          <w:rFonts w:cs="Arial"/>
          <w:szCs w:val="24"/>
          <w:lang w:val="en-US"/>
        </w:rPr>
        <w:t xml:space="preserve">but at bottom, </w:t>
      </w:r>
      <w:r w:rsidR="003D488B" w:rsidRPr="003D488B">
        <w:rPr>
          <w:rFonts w:cs="Arial"/>
          <w:szCs w:val="24"/>
          <w:lang w:val="en-US"/>
        </w:rPr>
        <w:t xml:space="preserve">it </w:t>
      </w:r>
      <w:r w:rsidR="000B56F6">
        <w:rPr>
          <w:rFonts w:cs="Arial"/>
          <w:szCs w:val="24"/>
          <w:lang w:val="en-US"/>
        </w:rPr>
        <w:t>appears that</w:t>
      </w:r>
      <w:r w:rsidR="003D488B" w:rsidRPr="003D488B">
        <w:rPr>
          <w:rFonts w:cs="Arial"/>
          <w:szCs w:val="24"/>
          <w:lang w:val="en-US"/>
        </w:rPr>
        <w:t xml:space="preserve"> the Agencies </w:t>
      </w:r>
      <w:r w:rsidR="00710538">
        <w:rPr>
          <w:rFonts w:cs="Arial"/>
          <w:szCs w:val="24"/>
          <w:lang w:val="en-US"/>
        </w:rPr>
        <w:t>simply</w:t>
      </w:r>
      <w:r w:rsidR="00305837">
        <w:rPr>
          <w:rFonts w:cs="Arial"/>
          <w:szCs w:val="24"/>
          <w:lang w:val="en-US"/>
        </w:rPr>
        <w:t xml:space="preserve"> made up these numbers</w:t>
      </w:r>
      <w:r w:rsidR="003D488B" w:rsidRPr="003D488B">
        <w:rPr>
          <w:rFonts w:cs="Arial"/>
          <w:szCs w:val="24"/>
          <w:lang w:val="en-US"/>
        </w:rPr>
        <w:t>.</w:t>
      </w:r>
      <w:r w:rsidR="003D488B" w:rsidRPr="003D488B">
        <w:rPr>
          <w:rStyle w:val="FootnoteReference"/>
          <w:rFonts w:cs="Arial"/>
          <w:szCs w:val="24"/>
        </w:rPr>
        <w:footnoteReference w:id="49"/>
      </w:r>
    </w:p>
    <w:p w:rsidR="0062751E" w:rsidRPr="003D488B" w:rsidRDefault="0062751E" w:rsidP="003D488B">
      <w:pPr>
        <w:pStyle w:val="BodyText"/>
        <w:rPr>
          <w:rFonts w:cs="Arial"/>
          <w:szCs w:val="24"/>
          <w:lang w:val="en-US"/>
        </w:rPr>
      </w:pPr>
    </w:p>
    <w:p w:rsidR="007C0EC0" w:rsidRPr="007C0EC0" w:rsidRDefault="007C0EC0" w:rsidP="007A09A2">
      <w:pPr>
        <w:pStyle w:val="Heading1"/>
        <w:numPr>
          <w:ilvl w:val="0"/>
          <w:numId w:val="0"/>
        </w:numPr>
        <w:ind w:left="720" w:hanging="720"/>
      </w:pPr>
      <w:r w:rsidRPr="007C0EC0">
        <w:t>Conclusion</w:t>
      </w:r>
    </w:p>
    <w:p w:rsidR="0062751E" w:rsidRDefault="007C0EC0" w:rsidP="007C0EC0">
      <w:pPr>
        <w:pStyle w:val="BodyText"/>
        <w:rPr>
          <w:rFonts w:cs="Arial"/>
          <w:lang w:val="en-US"/>
        </w:rPr>
      </w:pPr>
      <w:r w:rsidRPr="007C0EC0">
        <w:rPr>
          <w:rFonts w:cs="Arial"/>
          <w:szCs w:val="24"/>
          <w:lang w:val="en-US"/>
        </w:rPr>
        <w:t>For the foregoing reasons</w:t>
      </w:r>
      <w:r w:rsidR="00993A53">
        <w:rPr>
          <w:rFonts w:cs="Arial"/>
          <w:szCs w:val="24"/>
          <w:lang w:val="en-US"/>
        </w:rPr>
        <w:t xml:space="preserve"> and those set forth in our original comments</w:t>
      </w:r>
      <w:r w:rsidRPr="007C0EC0">
        <w:rPr>
          <w:rFonts w:cs="Arial"/>
          <w:szCs w:val="24"/>
          <w:lang w:val="en-US"/>
        </w:rPr>
        <w:t xml:space="preserve">, </w:t>
      </w:r>
      <w:r w:rsidR="00283BA5">
        <w:rPr>
          <w:rFonts w:cs="Arial"/>
          <w:szCs w:val="24"/>
          <w:lang w:val="en-US"/>
        </w:rPr>
        <w:t>the undersigned organizations</w:t>
      </w:r>
      <w:r w:rsidR="00283BA5" w:rsidRPr="007C0EC0">
        <w:rPr>
          <w:rFonts w:cs="Arial"/>
          <w:szCs w:val="24"/>
          <w:lang w:val="en-US"/>
        </w:rPr>
        <w:t xml:space="preserve"> </w:t>
      </w:r>
      <w:r w:rsidRPr="007C0EC0">
        <w:rPr>
          <w:rFonts w:cs="Arial"/>
          <w:szCs w:val="24"/>
          <w:lang w:val="en-US"/>
        </w:rPr>
        <w:t xml:space="preserve">respectfully urge the Agencies to </w:t>
      </w:r>
      <w:r w:rsidR="00993A53">
        <w:rPr>
          <w:rFonts w:cs="Arial"/>
          <w:szCs w:val="24"/>
          <w:lang w:val="en-US"/>
        </w:rPr>
        <w:t>repeal</w:t>
      </w:r>
      <w:r w:rsidRPr="007C0EC0">
        <w:rPr>
          <w:rFonts w:cs="Arial"/>
          <w:szCs w:val="24"/>
          <w:lang w:val="en-US"/>
        </w:rPr>
        <w:t xml:space="preserve"> the</w:t>
      </w:r>
      <w:r w:rsidR="00993A53">
        <w:rPr>
          <w:rFonts w:cs="Arial"/>
          <w:szCs w:val="24"/>
          <w:lang w:val="en-US"/>
        </w:rPr>
        <w:t xml:space="preserve"> 2015</w:t>
      </w:r>
      <w:r w:rsidRPr="007C0EC0">
        <w:rPr>
          <w:rFonts w:cs="Arial"/>
          <w:szCs w:val="24"/>
          <w:lang w:val="en-US"/>
        </w:rPr>
        <w:t xml:space="preserve"> Rule. Because the </w:t>
      </w:r>
      <w:r w:rsidR="00993A53">
        <w:rPr>
          <w:rFonts w:cs="Arial"/>
          <w:szCs w:val="24"/>
          <w:lang w:val="en-US"/>
        </w:rPr>
        <w:t>r</w:t>
      </w:r>
      <w:r w:rsidRPr="007C0EC0">
        <w:rPr>
          <w:rFonts w:cs="Arial"/>
          <w:szCs w:val="24"/>
          <w:lang w:val="en-US"/>
        </w:rPr>
        <w:t xml:space="preserve">ule was an amendment to then-existing regulations, its </w:t>
      </w:r>
      <w:r w:rsidR="002C0345">
        <w:rPr>
          <w:rFonts w:cs="Arial"/>
          <w:szCs w:val="24"/>
          <w:lang w:val="en-US"/>
        </w:rPr>
        <w:t>repeal</w:t>
      </w:r>
      <w:r w:rsidRPr="007C0EC0">
        <w:rPr>
          <w:rFonts w:cs="Arial"/>
          <w:szCs w:val="24"/>
          <w:lang w:val="en-US"/>
        </w:rPr>
        <w:t xml:space="preserve"> will have the effect of reinstating those regulations.</w:t>
      </w:r>
      <w:r w:rsidR="002C0345">
        <w:rPr>
          <w:rFonts w:cs="Arial"/>
          <w:szCs w:val="24"/>
          <w:lang w:val="en-US"/>
        </w:rPr>
        <w:t xml:space="preserve"> </w:t>
      </w:r>
      <w:r w:rsidR="002C0345">
        <w:rPr>
          <w:rFonts w:cs="Arial"/>
          <w:lang w:val="en-US"/>
        </w:rPr>
        <w:t>We appreciate the opportunity to provide these written comments and thank you in advance for your consideration.</w:t>
      </w:r>
      <w:r w:rsidR="00A977BC">
        <w:rPr>
          <w:rFonts w:cs="Arial"/>
          <w:lang w:val="en-US"/>
        </w:rPr>
        <w:t xml:space="preserve"> </w:t>
      </w:r>
      <w:r w:rsidR="002C0345">
        <w:rPr>
          <w:rFonts w:cs="Arial"/>
          <w:lang w:val="en-US"/>
        </w:rPr>
        <w:t xml:space="preserve">Should you </w:t>
      </w:r>
    </w:p>
    <w:p w:rsidR="007C0EC0" w:rsidRPr="007C0EC0" w:rsidRDefault="002C0345" w:rsidP="0062751E">
      <w:pPr>
        <w:pStyle w:val="BodyText"/>
        <w:ind w:firstLine="0"/>
        <w:rPr>
          <w:rFonts w:cs="Arial"/>
          <w:szCs w:val="24"/>
          <w:lang w:val="en-US"/>
        </w:rPr>
      </w:pPr>
      <w:r>
        <w:rPr>
          <w:rFonts w:cs="Arial"/>
          <w:lang w:val="en-US"/>
        </w:rPr>
        <w:lastRenderedPageBreak/>
        <w:t>have any questions concerning these comments or if you would like additional information, please do not hesitate to contact us.</w:t>
      </w:r>
    </w:p>
    <w:p w:rsidR="007A09A2" w:rsidRDefault="007A09A2" w:rsidP="007A09A2">
      <w:pPr>
        <w:pStyle w:val="BodyText"/>
        <w:ind w:firstLine="0"/>
        <w:rPr>
          <w:rFonts w:cs="Arial"/>
          <w:szCs w:val="24"/>
          <w:lang w:val="en-US" w:eastAsia="en-US"/>
        </w:rPr>
      </w:pP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r>
      <w:r w:rsidR="00E921D6">
        <w:rPr>
          <w:rFonts w:cs="Arial"/>
          <w:szCs w:val="24"/>
          <w:lang w:val="en-US" w:eastAsia="en-US"/>
        </w:rPr>
        <w:tab/>
      </w:r>
      <w:r>
        <w:rPr>
          <w:rFonts w:cs="Arial"/>
          <w:szCs w:val="24"/>
          <w:lang w:val="en-US" w:eastAsia="en-US"/>
        </w:rPr>
        <w:t>Sincerely,</w:t>
      </w:r>
      <w:r w:rsidR="00E921D6" w:rsidRPr="0003349D">
        <w:rPr>
          <w:rFonts w:cs="Arial"/>
          <w:lang w:val="en-US"/>
        </w:rPr>
        <w:t xml:space="preserve"> </w:t>
      </w:r>
      <w:r w:rsidR="00E921D6" w:rsidRPr="00E921D6">
        <w:rPr>
          <w:noProof/>
        </w:rPr>
        <w:drawing>
          <wp:inline distT="0" distB="0" distL="0" distR="0">
            <wp:extent cx="573405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08050"/>
                    </a:xfrm>
                    <a:prstGeom prst="rect">
                      <a:avLst/>
                    </a:prstGeom>
                    <a:noFill/>
                    <a:ln>
                      <a:noFill/>
                    </a:ln>
                  </pic:spPr>
                </pic:pic>
              </a:graphicData>
            </a:graphic>
          </wp:inline>
        </w:drawing>
      </w:r>
    </w:p>
    <w:p w:rsidR="007A09A2" w:rsidRDefault="007A09A2" w:rsidP="007A09A2">
      <w:pPr>
        <w:pStyle w:val="BodyText"/>
        <w:spacing w:after="0"/>
        <w:ind w:firstLine="0"/>
        <w:rPr>
          <w:rFonts w:cs="Arial"/>
          <w:szCs w:val="24"/>
          <w:lang w:val="en-US" w:eastAsia="en-US"/>
        </w:rPr>
      </w:pP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r>
      <w:r w:rsidR="00283BA5">
        <w:rPr>
          <w:rFonts w:cs="Arial"/>
          <w:szCs w:val="24"/>
          <w:lang w:val="en-US" w:eastAsia="en-US"/>
        </w:rPr>
        <w:t>William R. Murray</w:t>
      </w:r>
    </w:p>
    <w:p w:rsidR="007A09A2" w:rsidRDefault="007A09A2" w:rsidP="00E921D6">
      <w:pPr>
        <w:pStyle w:val="BodyText"/>
        <w:spacing w:after="0"/>
        <w:ind w:firstLine="0"/>
        <w:rPr>
          <w:rFonts w:cs="Arial"/>
          <w:szCs w:val="24"/>
          <w:lang w:val="en-US" w:eastAsia="en-US"/>
        </w:rPr>
      </w:pP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r>
      <w:r w:rsidR="00283BA5">
        <w:rPr>
          <w:rFonts w:cs="Arial"/>
          <w:szCs w:val="24"/>
          <w:lang w:val="en-US" w:eastAsia="en-US"/>
        </w:rPr>
        <w:t xml:space="preserve">Vice </w:t>
      </w:r>
      <w:r>
        <w:rPr>
          <w:rFonts w:cs="Arial"/>
          <w:szCs w:val="24"/>
          <w:lang w:val="en-US" w:eastAsia="en-US"/>
        </w:rPr>
        <w:t>Pres</w:t>
      </w:r>
      <w:r w:rsidR="00E921D6">
        <w:rPr>
          <w:rFonts w:cs="Arial"/>
          <w:szCs w:val="24"/>
          <w:lang w:val="en-US" w:eastAsia="en-US"/>
        </w:rPr>
        <w:t xml:space="preserve">., </w:t>
      </w:r>
      <w:r w:rsidR="00283BA5">
        <w:rPr>
          <w:rFonts w:cs="Arial"/>
          <w:szCs w:val="24"/>
          <w:lang w:val="en-US" w:eastAsia="en-US"/>
        </w:rPr>
        <w:t>Policy and General Counsel</w:t>
      </w:r>
    </w:p>
    <w:p w:rsidR="007A09A2" w:rsidRDefault="007A09A2" w:rsidP="007A09A2">
      <w:pPr>
        <w:pStyle w:val="BodyText"/>
        <w:spacing w:after="0"/>
        <w:ind w:firstLine="0"/>
        <w:rPr>
          <w:rFonts w:cs="Arial"/>
          <w:szCs w:val="24"/>
          <w:lang w:val="en-US" w:eastAsia="en-US"/>
        </w:rPr>
      </w:pP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r>
      <w:r>
        <w:rPr>
          <w:rFonts w:cs="Arial"/>
          <w:szCs w:val="24"/>
          <w:lang w:val="en-US" w:eastAsia="en-US"/>
        </w:rPr>
        <w:tab/>
        <w:t>National Alliance of Forest Owners</w:t>
      </w:r>
    </w:p>
    <w:p w:rsidR="0062751E" w:rsidRPr="007C0EC0" w:rsidRDefault="0062751E" w:rsidP="007A09A2">
      <w:pPr>
        <w:pStyle w:val="BodyText"/>
        <w:spacing w:after="0"/>
        <w:ind w:firstLine="0"/>
        <w:rPr>
          <w:rFonts w:cs="Arial"/>
          <w:szCs w:val="24"/>
          <w:lang w:val="en-US"/>
        </w:rPr>
      </w:pP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t>(202) 747-0742</w:t>
      </w:r>
    </w:p>
    <w:p w:rsidR="00600B3D" w:rsidRDefault="00600B3D" w:rsidP="00600B3D">
      <w:pPr>
        <w:rPr>
          <w:rFonts w:ascii="Arial" w:hAnsi="Arial" w:cs="Arial"/>
        </w:rPr>
      </w:pPr>
    </w:p>
    <w:p w:rsidR="001430A1" w:rsidRDefault="001430A1" w:rsidP="00600B3D">
      <w:pPr>
        <w:rPr>
          <w:rFonts w:ascii="Arial" w:hAnsi="Arial" w:cs="Arial"/>
        </w:rPr>
      </w:pPr>
    </w:p>
    <w:p w:rsidR="001430A1" w:rsidRDefault="001430A1" w:rsidP="00600B3D">
      <w:pPr>
        <w:rPr>
          <w:rFonts w:ascii="Arial" w:hAnsi="Arial" w:cs="Arial"/>
        </w:rPr>
      </w:pPr>
      <w:r>
        <w:rPr>
          <w:rFonts w:ascii="Arial" w:hAnsi="Arial" w:cs="Arial"/>
        </w:rPr>
        <w:t>On behalf of:</w:t>
      </w:r>
    </w:p>
    <w:p w:rsidR="001430A1" w:rsidRDefault="001430A1" w:rsidP="00600B3D">
      <w:pPr>
        <w:rPr>
          <w:rFonts w:ascii="Arial" w:hAnsi="Arial" w:cs="Arial"/>
        </w:rPr>
      </w:pPr>
    </w:p>
    <w:p w:rsidR="00E921D6" w:rsidRPr="00E921D6" w:rsidRDefault="00E921D6" w:rsidP="00E921D6">
      <w:pPr>
        <w:rPr>
          <w:rFonts w:ascii="Arial" w:hAnsi="Arial" w:cs="Arial"/>
        </w:rPr>
      </w:pPr>
      <w:r w:rsidRPr="00E921D6">
        <w:rPr>
          <w:rFonts w:ascii="Arial" w:hAnsi="Arial" w:cs="Arial"/>
        </w:rPr>
        <w:t>Alabama Forestry Association</w:t>
      </w:r>
    </w:p>
    <w:p w:rsidR="00E921D6" w:rsidRPr="00E921D6" w:rsidRDefault="00E921D6" w:rsidP="00E921D6">
      <w:pPr>
        <w:rPr>
          <w:rFonts w:ascii="Arial" w:hAnsi="Arial" w:cs="Arial"/>
        </w:rPr>
      </w:pPr>
      <w:r w:rsidRPr="00E921D6">
        <w:rPr>
          <w:rFonts w:ascii="Arial" w:hAnsi="Arial" w:cs="Arial"/>
        </w:rPr>
        <w:t>Arkansas Forestry Association</w:t>
      </w:r>
    </w:p>
    <w:p w:rsidR="00E921D6" w:rsidRPr="00E921D6" w:rsidRDefault="00E921D6" w:rsidP="00E921D6">
      <w:pPr>
        <w:rPr>
          <w:rFonts w:ascii="Arial" w:hAnsi="Arial" w:cs="Arial"/>
        </w:rPr>
      </w:pPr>
      <w:r w:rsidRPr="00E921D6">
        <w:rPr>
          <w:rFonts w:ascii="Arial" w:hAnsi="Arial" w:cs="Arial"/>
        </w:rPr>
        <w:t>California Forestry Association</w:t>
      </w:r>
    </w:p>
    <w:p w:rsidR="00E921D6" w:rsidRDefault="00E921D6" w:rsidP="00E921D6">
      <w:pPr>
        <w:rPr>
          <w:rFonts w:ascii="Arial" w:hAnsi="Arial" w:cs="Arial"/>
        </w:rPr>
      </w:pPr>
      <w:r w:rsidRPr="00E921D6">
        <w:rPr>
          <w:rFonts w:ascii="Arial" w:hAnsi="Arial" w:cs="Arial"/>
        </w:rPr>
        <w:t>Empire State Forest Products Association</w:t>
      </w:r>
    </w:p>
    <w:p w:rsidR="00856D7A" w:rsidRPr="00E921D6" w:rsidRDefault="00856D7A" w:rsidP="00E921D6">
      <w:pPr>
        <w:rPr>
          <w:rFonts w:ascii="Arial" w:hAnsi="Arial" w:cs="Arial"/>
        </w:rPr>
      </w:pPr>
      <w:r>
        <w:rPr>
          <w:rFonts w:ascii="Arial" w:hAnsi="Arial" w:cs="Arial"/>
        </w:rPr>
        <w:t>Florida Forestry Association</w:t>
      </w:r>
    </w:p>
    <w:p w:rsidR="00E921D6" w:rsidRDefault="00E921D6" w:rsidP="00E921D6">
      <w:pPr>
        <w:rPr>
          <w:rFonts w:ascii="Arial" w:hAnsi="Arial" w:cs="Arial"/>
        </w:rPr>
      </w:pPr>
      <w:r w:rsidRPr="00E921D6">
        <w:rPr>
          <w:rFonts w:ascii="Arial" w:hAnsi="Arial" w:cs="Arial"/>
        </w:rPr>
        <w:t>Forest Landowners Association</w:t>
      </w:r>
    </w:p>
    <w:p w:rsidR="00061D12" w:rsidRDefault="00061D12" w:rsidP="00E921D6">
      <w:pPr>
        <w:rPr>
          <w:rFonts w:ascii="Arial" w:hAnsi="Arial" w:cs="Arial"/>
        </w:rPr>
      </w:pPr>
      <w:r>
        <w:rPr>
          <w:rFonts w:ascii="Arial" w:hAnsi="Arial" w:cs="Arial"/>
        </w:rPr>
        <w:t>Forest Resource</w:t>
      </w:r>
      <w:r w:rsidR="00307720">
        <w:rPr>
          <w:rFonts w:ascii="Arial" w:hAnsi="Arial" w:cs="Arial"/>
        </w:rPr>
        <w:t>s</w:t>
      </w:r>
      <w:r>
        <w:rPr>
          <w:rFonts w:ascii="Arial" w:hAnsi="Arial" w:cs="Arial"/>
        </w:rPr>
        <w:t xml:space="preserve"> Association</w:t>
      </w:r>
    </w:p>
    <w:p w:rsidR="0003349D" w:rsidRPr="00E921D6" w:rsidRDefault="0003349D" w:rsidP="00E921D6">
      <w:pPr>
        <w:rPr>
          <w:rFonts w:ascii="Arial" w:hAnsi="Arial" w:cs="Arial"/>
        </w:rPr>
      </w:pPr>
      <w:r>
        <w:rPr>
          <w:rFonts w:ascii="Arial" w:hAnsi="Arial" w:cs="Arial"/>
        </w:rPr>
        <w:t xml:space="preserve">Georgia </w:t>
      </w:r>
      <w:r w:rsidRPr="00E921D6">
        <w:rPr>
          <w:rFonts w:ascii="Arial" w:hAnsi="Arial" w:cs="Arial"/>
        </w:rPr>
        <w:t>Forestry Association</w:t>
      </w:r>
    </w:p>
    <w:p w:rsidR="00E921D6" w:rsidRPr="00E921D6" w:rsidRDefault="00E921D6" w:rsidP="00E921D6">
      <w:pPr>
        <w:rPr>
          <w:rFonts w:ascii="Arial" w:hAnsi="Arial" w:cs="Arial"/>
        </w:rPr>
      </w:pPr>
      <w:r w:rsidRPr="00E921D6">
        <w:rPr>
          <w:rFonts w:ascii="Arial" w:hAnsi="Arial" w:cs="Arial"/>
        </w:rPr>
        <w:t>Louisiana Forestry Association</w:t>
      </w:r>
    </w:p>
    <w:p w:rsidR="00E921D6" w:rsidRPr="00E921D6" w:rsidRDefault="00E921D6" w:rsidP="00E921D6">
      <w:pPr>
        <w:rPr>
          <w:rFonts w:ascii="Arial" w:hAnsi="Arial" w:cs="Arial"/>
        </w:rPr>
      </w:pPr>
      <w:r w:rsidRPr="00E921D6">
        <w:rPr>
          <w:rFonts w:ascii="Arial" w:hAnsi="Arial" w:cs="Arial"/>
        </w:rPr>
        <w:t>Louisiana Logging Council</w:t>
      </w:r>
    </w:p>
    <w:p w:rsidR="00E921D6" w:rsidRPr="00E921D6" w:rsidRDefault="00E921D6" w:rsidP="00E921D6">
      <w:pPr>
        <w:rPr>
          <w:rFonts w:ascii="Arial" w:hAnsi="Arial" w:cs="Arial"/>
        </w:rPr>
      </w:pPr>
      <w:r w:rsidRPr="00E921D6">
        <w:rPr>
          <w:rFonts w:ascii="Arial" w:hAnsi="Arial" w:cs="Arial"/>
        </w:rPr>
        <w:t>Maine Forest Products Council</w:t>
      </w:r>
    </w:p>
    <w:p w:rsidR="00E921D6" w:rsidRPr="00E921D6" w:rsidRDefault="00E921D6" w:rsidP="00E921D6">
      <w:pPr>
        <w:rPr>
          <w:rFonts w:ascii="Arial" w:hAnsi="Arial" w:cs="Arial"/>
        </w:rPr>
      </w:pPr>
      <w:r w:rsidRPr="00E921D6">
        <w:rPr>
          <w:rFonts w:ascii="Arial" w:hAnsi="Arial" w:cs="Arial"/>
        </w:rPr>
        <w:t>Massachusetts Forest Alliance</w:t>
      </w:r>
    </w:p>
    <w:p w:rsidR="00E921D6" w:rsidRPr="00E921D6" w:rsidRDefault="00E921D6" w:rsidP="00E921D6">
      <w:pPr>
        <w:rPr>
          <w:rFonts w:ascii="Arial" w:hAnsi="Arial" w:cs="Arial"/>
        </w:rPr>
      </w:pPr>
      <w:r w:rsidRPr="00E921D6">
        <w:rPr>
          <w:rFonts w:ascii="Arial" w:hAnsi="Arial" w:cs="Arial"/>
        </w:rPr>
        <w:t>Michigan Forest Products Council</w:t>
      </w:r>
    </w:p>
    <w:p w:rsidR="00E921D6" w:rsidRPr="00E921D6" w:rsidRDefault="00E921D6" w:rsidP="00E921D6">
      <w:pPr>
        <w:rPr>
          <w:rFonts w:ascii="Arial" w:hAnsi="Arial" w:cs="Arial"/>
        </w:rPr>
      </w:pPr>
      <w:r w:rsidRPr="00E921D6">
        <w:rPr>
          <w:rFonts w:ascii="Arial" w:hAnsi="Arial" w:cs="Arial"/>
        </w:rPr>
        <w:t>Minnesota Forest Industries</w:t>
      </w:r>
    </w:p>
    <w:p w:rsidR="00E921D6" w:rsidRPr="00E921D6" w:rsidRDefault="00E921D6" w:rsidP="00E921D6">
      <w:pPr>
        <w:rPr>
          <w:rFonts w:ascii="Arial" w:hAnsi="Arial" w:cs="Arial"/>
        </w:rPr>
      </w:pPr>
      <w:r w:rsidRPr="00E921D6">
        <w:rPr>
          <w:rFonts w:ascii="Arial" w:hAnsi="Arial" w:cs="Arial"/>
        </w:rPr>
        <w:t>Minnesota Timber Producers Association</w:t>
      </w:r>
    </w:p>
    <w:p w:rsidR="00E921D6" w:rsidRPr="00E921D6" w:rsidRDefault="00E921D6" w:rsidP="00E921D6">
      <w:pPr>
        <w:rPr>
          <w:rFonts w:ascii="Arial" w:hAnsi="Arial" w:cs="Arial"/>
        </w:rPr>
      </w:pPr>
      <w:r w:rsidRPr="00E921D6">
        <w:rPr>
          <w:rFonts w:ascii="Arial" w:hAnsi="Arial" w:cs="Arial"/>
        </w:rPr>
        <w:t>Mississippi Forestry Association</w:t>
      </w:r>
    </w:p>
    <w:p w:rsidR="00E921D6" w:rsidRPr="00E921D6" w:rsidRDefault="00E921D6" w:rsidP="00E921D6">
      <w:pPr>
        <w:rPr>
          <w:rFonts w:ascii="Arial" w:hAnsi="Arial" w:cs="Arial"/>
        </w:rPr>
      </w:pPr>
      <w:r w:rsidRPr="00E921D6">
        <w:rPr>
          <w:rFonts w:ascii="Arial" w:hAnsi="Arial" w:cs="Arial"/>
        </w:rPr>
        <w:t>National Alliance of Forest Owners</w:t>
      </w:r>
    </w:p>
    <w:p w:rsidR="00E921D6" w:rsidRPr="00E921D6" w:rsidRDefault="00E921D6" w:rsidP="00E921D6">
      <w:pPr>
        <w:rPr>
          <w:rFonts w:ascii="Arial" w:hAnsi="Arial" w:cs="Arial"/>
        </w:rPr>
      </w:pPr>
      <w:r w:rsidRPr="00E921D6">
        <w:rPr>
          <w:rFonts w:ascii="Arial" w:hAnsi="Arial" w:cs="Arial"/>
        </w:rPr>
        <w:t xml:space="preserve">New Hampshire Timber Owners Association </w:t>
      </w:r>
    </w:p>
    <w:p w:rsidR="00E921D6" w:rsidRDefault="00E921D6" w:rsidP="00E921D6">
      <w:pPr>
        <w:rPr>
          <w:rFonts w:ascii="Arial" w:hAnsi="Arial" w:cs="Arial"/>
        </w:rPr>
      </w:pPr>
      <w:r w:rsidRPr="00E921D6">
        <w:rPr>
          <w:rFonts w:ascii="Arial" w:hAnsi="Arial" w:cs="Arial"/>
        </w:rPr>
        <w:t xml:space="preserve">North Carolina Forestry Association </w:t>
      </w:r>
    </w:p>
    <w:p w:rsidR="0003349D" w:rsidRPr="0003349D" w:rsidRDefault="0003349D" w:rsidP="00E921D6">
      <w:pPr>
        <w:rPr>
          <w:rFonts w:ascii="Arial" w:hAnsi="Arial" w:cs="Arial"/>
        </w:rPr>
      </w:pPr>
      <w:r w:rsidRPr="0003349D">
        <w:rPr>
          <w:rFonts w:ascii="Arial" w:hAnsi="Arial" w:cs="Arial"/>
        </w:rPr>
        <w:t>Oregon Forest &amp; Industries Council</w:t>
      </w:r>
    </w:p>
    <w:p w:rsidR="00E921D6" w:rsidRPr="00E921D6" w:rsidRDefault="00E921D6" w:rsidP="00E921D6">
      <w:pPr>
        <w:rPr>
          <w:rFonts w:ascii="Arial" w:hAnsi="Arial" w:cs="Arial"/>
        </w:rPr>
      </w:pPr>
      <w:r w:rsidRPr="00E921D6">
        <w:rPr>
          <w:rFonts w:ascii="Arial" w:hAnsi="Arial" w:cs="Arial"/>
        </w:rPr>
        <w:t>South Carolina Forestry Association</w:t>
      </w:r>
    </w:p>
    <w:p w:rsidR="00E921D6" w:rsidRDefault="00E921D6" w:rsidP="00E921D6">
      <w:pPr>
        <w:rPr>
          <w:rFonts w:ascii="Arial" w:hAnsi="Arial" w:cs="Arial"/>
        </w:rPr>
      </w:pPr>
      <w:r w:rsidRPr="00E921D6">
        <w:rPr>
          <w:rFonts w:ascii="Arial" w:hAnsi="Arial" w:cs="Arial"/>
        </w:rPr>
        <w:t>Southeastern Lumber Manufacturers Association</w:t>
      </w:r>
    </w:p>
    <w:p w:rsidR="00CE0E99" w:rsidRPr="00E921D6" w:rsidRDefault="00CE0E99" w:rsidP="00E921D6">
      <w:pPr>
        <w:rPr>
          <w:rFonts w:ascii="Arial" w:hAnsi="Arial" w:cs="Arial"/>
        </w:rPr>
      </w:pPr>
      <w:r>
        <w:rPr>
          <w:rFonts w:ascii="Arial" w:hAnsi="Arial" w:cs="Arial"/>
        </w:rPr>
        <w:t xml:space="preserve">Tennessee </w:t>
      </w:r>
      <w:r w:rsidR="00E5339F" w:rsidRPr="00E921D6">
        <w:rPr>
          <w:rFonts w:ascii="Arial" w:hAnsi="Arial" w:cs="Arial"/>
        </w:rPr>
        <w:t>Forestry Association</w:t>
      </w:r>
    </w:p>
    <w:p w:rsidR="00E921D6" w:rsidRPr="00E921D6" w:rsidRDefault="00E921D6" w:rsidP="00E921D6">
      <w:pPr>
        <w:rPr>
          <w:rFonts w:ascii="Arial" w:hAnsi="Arial" w:cs="Arial"/>
        </w:rPr>
      </w:pPr>
      <w:r w:rsidRPr="00E921D6">
        <w:rPr>
          <w:rFonts w:ascii="Arial" w:hAnsi="Arial" w:cs="Arial"/>
        </w:rPr>
        <w:t>Texas Forestry Association</w:t>
      </w:r>
    </w:p>
    <w:p w:rsidR="001430A1" w:rsidRDefault="00E921D6" w:rsidP="00E921D6">
      <w:pPr>
        <w:rPr>
          <w:rFonts w:ascii="Arial" w:hAnsi="Arial" w:cs="Arial"/>
        </w:rPr>
      </w:pPr>
      <w:r w:rsidRPr="00E921D6">
        <w:rPr>
          <w:rFonts w:ascii="Arial" w:hAnsi="Arial" w:cs="Arial"/>
        </w:rPr>
        <w:t>Virginia Forestry Association</w:t>
      </w:r>
    </w:p>
    <w:p w:rsidR="00D17847" w:rsidRPr="007C0EC0" w:rsidRDefault="00D562DF" w:rsidP="00E921D6">
      <w:pPr>
        <w:rPr>
          <w:rFonts w:ascii="Arial" w:hAnsi="Arial" w:cs="Arial"/>
        </w:rPr>
      </w:pPr>
      <w:r>
        <w:rPr>
          <w:rFonts w:ascii="Arial" w:hAnsi="Arial" w:cs="Arial"/>
        </w:rPr>
        <w:t>Washington</w:t>
      </w:r>
      <w:bookmarkStart w:id="32" w:name="_GoBack"/>
      <w:bookmarkEnd w:id="32"/>
      <w:r w:rsidR="00D17847">
        <w:rPr>
          <w:rFonts w:ascii="Arial" w:hAnsi="Arial" w:cs="Arial"/>
        </w:rPr>
        <w:t xml:space="preserve"> Forest protection Association</w:t>
      </w:r>
    </w:p>
    <w:sectPr w:rsidR="00D17847" w:rsidRPr="007C0EC0" w:rsidSect="004F15D7">
      <w:footerReference w:type="default" r:id="rId10"/>
      <w:headerReference w:type="first" r:id="rId11"/>
      <w:footerReference w:type="first" r:id="rId12"/>
      <w:pgSz w:w="12240" w:h="15840" w:code="1"/>
      <w:pgMar w:top="996"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1F" w:rsidRDefault="001A081F">
      <w:r>
        <w:separator/>
      </w:r>
    </w:p>
  </w:endnote>
  <w:endnote w:type="continuationSeparator" w:id="0">
    <w:p w:rsidR="001A081F" w:rsidRDefault="001A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375902"/>
      <w:docPartObj>
        <w:docPartGallery w:val="Page Numbers (Bottom of Page)"/>
        <w:docPartUnique/>
      </w:docPartObj>
    </w:sdtPr>
    <w:sdtEndPr>
      <w:rPr>
        <w:rFonts w:ascii="Arial" w:hAnsi="Arial" w:cs="Arial"/>
        <w:noProof/>
        <w:sz w:val="20"/>
        <w:szCs w:val="20"/>
      </w:rPr>
    </w:sdtEndPr>
    <w:sdtContent>
      <w:p w:rsidR="001A081F" w:rsidRPr="00600B3D" w:rsidRDefault="001A081F">
        <w:pPr>
          <w:pStyle w:val="Footer"/>
          <w:jc w:val="right"/>
          <w:rPr>
            <w:rFonts w:ascii="Arial" w:hAnsi="Arial" w:cs="Arial"/>
            <w:sz w:val="20"/>
            <w:szCs w:val="20"/>
          </w:rPr>
        </w:pPr>
        <w:r w:rsidRPr="00600B3D">
          <w:rPr>
            <w:rFonts w:ascii="Arial" w:hAnsi="Arial" w:cs="Arial"/>
            <w:sz w:val="20"/>
            <w:szCs w:val="20"/>
          </w:rPr>
          <w:fldChar w:fldCharType="begin"/>
        </w:r>
        <w:r w:rsidRPr="00600B3D">
          <w:rPr>
            <w:rFonts w:ascii="Arial" w:hAnsi="Arial" w:cs="Arial"/>
            <w:sz w:val="20"/>
            <w:szCs w:val="20"/>
          </w:rPr>
          <w:instrText xml:space="preserve"> PAGE   \* MERGEFORMAT </w:instrText>
        </w:r>
        <w:r w:rsidRPr="00600B3D">
          <w:rPr>
            <w:rFonts w:ascii="Arial" w:hAnsi="Arial" w:cs="Arial"/>
            <w:sz w:val="20"/>
            <w:szCs w:val="20"/>
          </w:rPr>
          <w:fldChar w:fldCharType="separate"/>
        </w:r>
        <w:r w:rsidR="003B72C7">
          <w:rPr>
            <w:rFonts w:ascii="Arial" w:hAnsi="Arial" w:cs="Arial"/>
            <w:noProof/>
            <w:sz w:val="20"/>
            <w:szCs w:val="20"/>
          </w:rPr>
          <w:t>10</w:t>
        </w:r>
        <w:r w:rsidRPr="00600B3D">
          <w:rPr>
            <w:rFonts w:ascii="Arial" w:hAnsi="Arial" w:cs="Arial"/>
            <w:noProof/>
            <w:sz w:val="20"/>
            <w:szCs w:val="20"/>
          </w:rPr>
          <w:fldChar w:fldCharType="end"/>
        </w:r>
      </w:p>
    </w:sdtContent>
  </w:sdt>
  <w:p w:rsidR="001A081F" w:rsidRPr="00197AE7" w:rsidRDefault="001A081F" w:rsidP="00197AE7">
    <w:pPr>
      <w:pStyle w:val="Footer"/>
      <w:tabs>
        <w:tab w:val="clear" w:pos="8640"/>
        <w:tab w:val="right" w:pos="9180"/>
      </w:tabs>
      <w:rPr>
        <w:rFonts w:ascii="Arial" w:hAnsi="Arial" w:cs="Arial"/>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BA5" w:rsidRDefault="00283BA5">
    <w:pPr>
      <w:pStyle w:val="Footer"/>
    </w:pPr>
  </w:p>
  <w:p w:rsidR="001A081F" w:rsidRDefault="001A081F" w:rsidP="00197AE7">
    <w:pPr>
      <w:pStyle w:val="Footer"/>
      <w:rPr>
        <w:rFonts w:ascii="Arial" w:hAnsi="Arial" w:cs="Arial"/>
        <w:color w:val="808080"/>
        <w:sz w:val="18"/>
        <w:szCs w:val="18"/>
      </w:rPr>
    </w:pPr>
  </w:p>
  <w:p w:rsidR="001A081F" w:rsidRPr="009D7AC0" w:rsidRDefault="001A081F" w:rsidP="004F15D7">
    <w:pPr>
      <w:pStyle w:val="Footer"/>
      <w:tabs>
        <w:tab w:val="clear" w:pos="8640"/>
        <w:tab w:val="right" w:pos="9180"/>
      </w:tabs>
      <w:jc w:val="center"/>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1F" w:rsidRDefault="001A081F">
      <w:r>
        <w:separator/>
      </w:r>
    </w:p>
  </w:footnote>
  <w:footnote w:type="continuationSeparator" w:id="0">
    <w:p w:rsidR="001A081F" w:rsidRDefault="001A081F">
      <w:r>
        <w:continuationSeparator/>
      </w:r>
    </w:p>
  </w:footnote>
  <w:footnote w:id="1">
    <w:p w:rsidR="001A081F" w:rsidRDefault="001A081F">
      <w:pPr>
        <w:pStyle w:val="FootnoteText"/>
      </w:pPr>
      <w:r>
        <w:rPr>
          <w:rStyle w:val="FootnoteReference"/>
        </w:rPr>
        <w:footnoteRef/>
      </w:r>
      <w:r>
        <w:t xml:space="preserve"> </w:t>
      </w:r>
      <w:r>
        <w:rPr>
          <w:i/>
        </w:rPr>
        <w:t xml:space="preserve">See generally </w:t>
      </w:r>
      <w:r w:rsidRPr="007C0EC0">
        <w:rPr>
          <w:rFonts w:cs="Arial"/>
          <w:szCs w:val="24"/>
        </w:rPr>
        <w:t>80 Fed. Reg. 37,054 (June 29,</w:t>
      </w:r>
      <w:r>
        <w:rPr>
          <w:rFonts w:cs="Arial"/>
          <w:szCs w:val="24"/>
        </w:rPr>
        <w:t xml:space="preserve"> </w:t>
      </w:r>
      <w:r w:rsidRPr="007C0EC0">
        <w:rPr>
          <w:rFonts w:cs="Arial"/>
          <w:szCs w:val="24"/>
        </w:rPr>
        <w:t>2015) (</w:t>
      </w:r>
      <w:r>
        <w:rPr>
          <w:rFonts w:cs="Arial"/>
          <w:szCs w:val="24"/>
        </w:rPr>
        <w:t xml:space="preserve">hereinafter, </w:t>
      </w:r>
      <w:r w:rsidRPr="007C0EC0">
        <w:rPr>
          <w:rFonts w:cs="Arial"/>
          <w:szCs w:val="24"/>
        </w:rPr>
        <w:t>“the 2015 Rule”)</w:t>
      </w:r>
      <w:r>
        <w:rPr>
          <w:rFonts w:cs="Arial"/>
          <w:szCs w:val="24"/>
        </w:rPr>
        <w:t>.</w:t>
      </w:r>
    </w:p>
  </w:footnote>
  <w:footnote w:id="2">
    <w:p w:rsidR="001A081F" w:rsidRPr="007F0A3F" w:rsidRDefault="001A081F">
      <w:pPr>
        <w:pStyle w:val="FootnoteText"/>
      </w:pPr>
      <w:r>
        <w:rPr>
          <w:rStyle w:val="FootnoteReference"/>
        </w:rPr>
        <w:footnoteRef/>
      </w:r>
      <w:r>
        <w:t xml:space="preserve"> </w:t>
      </w:r>
      <w:r>
        <w:rPr>
          <w:i/>
        </w:rPr>
        <w:t xml:space="preserve">See </w:t>
      </w:r>
      <w:r>
        <w:t>82 Fed. Reg. 34,899 (July 27, 2017).</w:t>
      </w:r>
    </w:p>
  </w:footnote>
  <w:footnote w:id="3">
    <w:p w:rsidR="00C931BA" w:rsidRPr="00C931BA" w:rsidRDefault="00C931BA">
      <w:pPr>
        <w:pStyle w:val="FootnoteText"/>
      </w:pPr>
      <w:r>
        <w:rPr>
          <w:rStyle w:val="FootnoteReference"/>
        </w:rPr>
        <w:footnoteRef/>
      </w:r>
      <w:r>
        <w:t xml:space="preserve"> </w:t>
      </w:r>
      <w:r>
        <w:rPr>
          <w:i/>
        </w:rPr>
        <w:t>See</w:t>
      </w:r>
      <w:r>
        <w:t xml:space="preserve"> EPA-HQ-OW-2017-0203-9569.</w:t>
      </w:r>
    </w:p>
  </w:footnote>
  <w:footnote w:id="4">
    <w:p w:rsidR="001A081F" w:rsidRDefault="001A081F">
      <w:pPr>
        <w:pStyle w:val="FootnoteText"/>
      </w:pPr>
      <w:r>
        <w:rPr>
          <w:rStyle w:val="FootnoteReference"/>
        </w:rPr>
        <w:footnoteRef/>
      </w:r>
      <w:r>
        <w:t xml:space="preserve"> 33 U.S.C. § 1251(b).</w:t>
      </w:r>
    </w:p>
  </w:footnote>
  <w:footnote w:id="5">
    <w:p w:rsidR="00F16898" w:rsidRPr="00F91124" w:rsidRDefault="00F16898">
      <w:pPr>
        <w:pStyle w:val="FootnoteText"/>
      </w:pPr>
      <w:r>
        <w:rPr>
          <w:rStyle w:val="FootnoteReference"/>
        </w:rPr>
        <w:footnoteRef/>
      </w:r>
      <w:r>
        <w:t xml:space="preserve"> In the supplemental notice, the Agencies propose to repeal the 2015 Rule to better achieve regulatory certainty. </w:t>
      </w:r>
      <w:r>
        <w:rPr>
          <w:i/>
        </w:rPr>
        <w:t>See</w:t>
      </w:r>
      <w:r>
        <w:t xml:space="preserve"> 83 Fed. Reg. at 32,237. As the Agencies correctly observe, one of the reasons the 2015 Rule fails to achieve its stated goal of providing clarity and certainty is the rule’s vague terms and provisions have generated considerable confusion. </w:t>
      </w:r>
      <w:r>
        <w:rPr>
          <w:i/>
        </w:rPr>
        <w:t>See id.</w:t>
      </w:r>
      <w:r>
        <w:t xml:space="preserve"> at 32,239. </w:t>
      </w:r>
      <w:r w:rsidR="00283BA5">
        <w:t>The undersigned organizations</w:t>
      </w:r>
      <w:r>
        <w:t xml:space="preserve"> believe</w:t>
      </w:r>
      <w:r w:rsidR="00F91124">
        <w:t xml:space="preserve"> that the rule is unconstitutionally vague, as explained in </w:t>
      </w:r>
      <w:proofErr w:type="spellStart"/>
      <w:r w:rsidR="00283BA5">
        <w:t>NAFO’s</w:t>
      </w:r>
      <w:proofErr w:type="spellEnd"/>
      <w:r w:rsidR="00F91124">
        <w:t xml:space="preserve"> prior comments. In light of the Agencies’ recognition of the important due process concerns at issue, </w:t>
      </w:r>
      <w:r w:rsidR="00F91124">
        <w:rPr>
          <w:i/>
        </w:rPr>
        <w:t>see id.</w:t>
      </w:r>
      <w:r w:rsidR="00F91124">
        <w:t xml:space="preserve"> at 32,237, the Agencies should either conclude that the 2015 Rule is void for vagueness or, at a minimum, it should find that the interpretation in the 2015 Rule was unreasonable because it implicates serious due process questions.</w:t>
      </w:r>
    </w:p>
  </w:footnote>
  <w:footnote w:id="6">
    <w:p w:rsidR="006512A9" w:rsidRPr="006512A9" w:rsidRDefault="006512A9">
      <w:pPr>
        <w:pStyle w:val="FootnoteText"/>
      </w:pPr>
      <w:r>
        <w:rPr>
          <w:rStyle w:val="FootnoteReference"/>
        </w:rPr>
        <w:footnoteRef/>
      </w:r>
      <w:r>
        <w:t xml:space="preserve"> </w:t>
      </w:r>
      <w:r>
        <w:rPr>
          <w:i/>
        </w:rPr>
        <w:t>See</w:t>
      </w:r>
      <w:r>
        <w:t xml:space="preserve"> </w:t>
      </w:r>
      <w:r>
        <w:rPr>
          <w:i/>
        </w:rPr>
        <w:t>Georgia v. Pruitt</w:t>
      </w:r>
      <w:r>
        <w:t>, No. 15-cv-79, 2018 U.S. Dist. LEXIS 97223 (S.D. Ga. June 8, 2018).</w:t>
      </w:r>
    </w:p>
  </w:footnote>
  <w:footnote w:id="7">
    <w:p w:rsidR="00F91124" w:rsidRDefault="00F91124">
      <w:pPr>
        <w:pStyle w:val="FootnoteText"/>
      </w:pPr>
      <w:r>
        <w:rPr>
          <w:rStyle w:val="FootnoteReference"/>
        </w:rPr>
        <w:footnoteRef/>
      </w:r>
      <w:r>
        <w:t xml:space="preserve"> 83 Fed. Reg. at 32,238.</w:t>
      </w:r>
    </w:p>
  </w:footnote>
  <w:footnote w:id="8">
    <w:p w:rsidR="005327D0" w:rsidRPr="005327D0" w:rsidRDefault="005327D0">
      <w:pPr>
        <w:pStyle w:val="FootnoteText"/>
      </w:pPr>
      <w:r>
        <w:rPr>
          <w:rStyle w:val="FootnoteReference"/>
        </w:rPr>
        <w:footnoteRef/>
      </w:r>
      <w:r>
        <w:t xml:space="preserve"> </w:t>
      </w:r>
      <w:r>
        <w:rPr>
          <w:i/>
        </w:rPr>
        <w:t>Id.</w:t>
      </w:r>
    </w:p>
  </w:footnote>
  <w:footnote w:id="9">
    <w:p w:rsidR="001A081F" w:rsidRDefault="001A081F">
      <w:pPr>
        <w:pStyle w:val="FootnoteText"/>
      </w:pPr>
      <w:r>
        <w:rPr>
          <w:rStyle w:val="FootnoteReference"/>
        </w:rPr>
        <w:footnoteRef/>
      </w:r>
      <w:r>
        <w:t xml:space="preserve"> 531 U.S. at 167.</w:t>
      </w:r>
    </w:p>
  </w:footnote>
  <w:footnote w:id="10">
    <w:p w:rsidR="001A081F" w:rsidRPr="00CC3183" w:rsidRDefault="001A081F" w:rsidP="003D488B">
      <w:pPr>
        <w:pStyle w:val="FootnoteText"/>
      </w:pPr>
      <w:r>
        <w:rPr>
          <w:rStyle w:val="FootnoteReference"/>
        </w:rPr>
        <w:footnoteRef/>
      </w:r>
      <w:r>
        <w:t xml:space="preserve"> </w:t>
      </w:r>
      <w:r>
        <w:rPr>
          <w:i/>
        </w:rPr>
        <w:t>Id.</w:t>
      </w:r>
      <w:r>
        <w:t xml:space="preserve"> at 172-73 (citing </w:t>
      </w:r>
      <w:r w:rsidR="00E801A9">
        <w:rPr>
          <w:i/>
        </w:rPr>
        <w:t>United States v. Appalachian Power Co.</w:t>
      </w:r>
      <w:r w:rsidR="00E801A9">
        <w:t>, 311 U.S. 377, 407-08 (1940)</w:t>
      </w:r>
      <w:r>
        <w:t>).</w:t>
      </w:r>
    </w:p>
  </w:footnote>
  <w:footnote w:id="11">
    <w:p w:rsidR="001A081F" w:rsidRPr="00121B49" w:rsidRDefault="001A081F" w:rsidP="003D488B">
      <w:pPr>
        <w:pStyle w:val="FootnoteText"/>
      </w:pPr>
      <w:r>
        <w:rPr>
          <w:rStyle w:val="FootnoteReference"/>
        </w:rPr>
        <w:footnoteRef/>
      </w:r>
      <w:r>
        <w:t xml:space="preserve"> 547 U.S. at 734-35 (plurality); </w:t>
      </w:r>
      <w:r>
        <w:rPr>
          <w:i/>
        </w:rPr>
        <w:t>id.</w:t>
      </w:r>
      <w:r>
        <w:t xml:space="preserve"> at 778-79.</w:t>
      </w:r>
    </w:p>
  </w:footnote>
  <w:footnote w:id="12">
    <w:p w:rsidR="001A081F" w:rsidRDefault="001A081F">
      <w:pPr>
        <w:pStyle w:val="FootnoteText"/>
      </w:pPr>
      <w:r>
        <w:rPr>
          <w:rStyle w:val="FootnoteReference"/>
        </w:rPr>
        <w:footnoteRef/>
      </w:r>
      <w:r>
        <w:t xml:space="preserve"> 547 U.S. at 778.</w:t>
      </w:r>
    </w:p>
  </w:footnote>
  <w:footnote w:id="13">
    <w:p w:rsidR="001A081F" w:rsidRPr="00322809" w:rsidRDefault="001A081F" w:rsidP="003D488B">
      <w:pPr>
        <w:pStyle w:val="FootnoteText"/>
      </w:pPr>
      <w:r>
        <w:rPr>
          <w:rStyle w:val="FootnoteReference"/>
        </w:rPr>
        <w:footnoteRef/>
      </w:r>
      <w:r>
        <w:t xml:space="preserve"> 33 C.F.R. § 328.3(c)(3); </w:t>
      </w:r>
      <w:r>
        <w:rPr>
          <w:i/>
        </w:rPr>
        <w:t>see also</w:t>
      </w:r>
      <w:r>
        <w:t xml:space="preserve"> 80 Fed. Reg. at 37,076 (stating that flow can be “intermittent or ephemeral”).</w:t>
      </w:r>
    </w:p>
  </w:footnote>
  <w:footnote w:id="14">
    <w:p w:rsidR="001A081F" w:rsidRDefault="001A081F" w:rsidP="003D488B">
      <w:pPr>
        <w:pStyle w:val="FootnoteText"/>
      </w:pPr>
      <w:r>
        <w:rPr>
          <w:rStyle w:val="FootnoteReference"/>
        </w:rPr>
        <w:footnoteRef/>
      </w:r>
      <w:r>
        <w:t xml:space="preserve"> 33 C.F.R. § 328.3(c)(3).</w:t>
      </w:r>
    </w:p>
  </w:footnote>
  <w:footnote w:id="15">
    <w:p w:rsidR="001A081F" w:rsidRPr="00322809" w:rsidRDefault="001A081F" w:rsidP="003D488B">
      <w:pPr>
        <w:pStyle w:val="FootnoteText"/>
      </w:pPr>
      <w:r>
        <w:rPr>
          <w:rStyle w:val="FootnoteReference"/>
        </w:rPr>
        <w:footnoteRef/>
      </w:r>
      <w:r>
        <w:t xml:space="preserve"> </w:t>
      </w:r>
      <w:r>
        <w:rPr>
          <w:i/>
        </w:rPr>
        <w:t>See</w:t>
      </w:r>
      <w:r>
        <w:t xml:space="preserve"> 80 Fed. Reg. at 37,081, 37,098.</w:t>
      </w:r>
    </w:p>
  </w:footnote>
  <w:footnote w:id="16">
    <w:p w:rsidR="001A081F" w:rsidRPr="00322809" w:rsidRDefault="001A081F" w:rsidP="003D488B">
      <w:pPr>
        <w:pStyle w:val="FootnoteText"/>
      </w:pPr>
      <w:r>
        <w:rPr>
          <w:rStyle w:val="FootnoteReference"/>
        </w:rPr>
        <w:footnoteRef/>
      </w:r>
      <w:r>
        <w:t xml:space="preserve"> </w:t>
      </w:r>
      <w:r>
        <w:rPr>
          <w:i/>
        </w:rPr>
        <w:t>Id.</w:t>
      </w:r>
      <w:r>
        <w:t xml:space="preserve"> at 37,076-77.</w:t>
      </w:r>
    </w:p>
  </w:footnote>
  <w:footnote w:id="17">
    <w:p w:rsidR="001A081F" w:rsidRPr="00F671C1" w:rsidRDefault="001A081F" w:rsidP="003D488B">
      <w:pPr>
        <w:pStyle w:val="FootnoteText"/>
      </w:pPr>
      <w:r>
        <w:rPr>
          <w:rStyle w:val="FootnoteReference"/>
        </w:rPr>
        <w:footnoteRef/>
      </w:r>
      <w:r>
        <w:t xml:space="preserve"> </w:t>
      </w:r>
      <w:r>
        <w:rPr>
          <w:i/>
        </w:rPr>
        <w:t>Id.</w:t>
      </w:r>
      <w:r>
        <w:t xml:space="preserve"> at 37,077.</w:t>
      </w:r>
    </w:p>
  </w:footnote>
  <w:footnote w:id="18">
    <w:p w:rsidR="001A081F" w:rsidRPr="003749BF" w:rsidRDefault="001A081F">
      <w:pPr>
        <w:pStyle w:val="FootnoteText"/>
      </w:pPr>
      <w:r>
        <w:rPr>
          <w:rStyle w:val="FootnoteReference"/>
        </w:rPr>
        <w:footnoteRef/>
      </w:r>
      <w:r>
        <w:t xml:space="preserve"> </w:t>
      </w:r>
      <w:r>
        <w:rPr>
          <w:i/>
        </w:rPr>
        <w:t>See</w:t>
      </w:r>
      <w:r>
        <w:t xml:space="preserve"> 547 U.S. at 734-36 (plurality).</w:t>
      </w:r>
    </w:p>
  </w:footnote>
  <w:footnote w:id="19">
    <w:p w:rsidR="001A081F" w:rsidRDefault="001A081F" w:rsidP="003D488B">
      <w:pPr>
        <w:pStyle w:val="FootnoteText"/>
      </w:pPr>
      <w:r>
        <w:rPr>
          <w:rStyle w:val="FootnoteReference"/>
        </w:rPr>
        <w:footnoteRef/>
      </w:r>
      <w:r>
        <w:t xml:space="preserve"> 5</w:t>
      </w:r>
      <w:bookmarkStart w:id="3" w:name="_BA_Cite_56BBB7_000887"/>
      <w:bookmarkEnd w:id="3"/>
      <w:r>
        <w:t>47 U.S. at 781.</w:t>
      </w:r>
    </w:p>
  </w:footnote>
  <w:footnote w:id="20">
    <w:p w:rsidR="001A081F" w:rsidRDefault="001A081F" w:rsidP="003D488B">
      <w:pPr>
        <w:pStyle w:val="FootnoteText"/>
      </w:pPr>
      <w:r>
        <w:rPr>
          <w:rStyle w:val="FootnoteReference"/>
        </w:rPr>
        <w:footnoteRef/>
      </w:r>
      <w:r>
        <w:t xml:space="preserve"> </w:t>
      </w:r>
      <w:r>
        <w:rPr>
          <w:i/>
        </w:rPr>
        <w:t>I</w:t>
      </w:r>
      <w:bookmarkStart w:id="4" w:name="_BA_Cite_56BBB7_000709"/>
      <w:bookmarkEnd w:id="4"/>
      <w:r>
        <w:rPr>
          <w:i/>
        </w:rPr>
        <w:t>d</w:t>
      </w:r>
      <w:r>
        <w:t>. at 781-782 (Kennedy, J.).</w:t>
      </w:r>
    </w:p>
  </w:footnote>
  <w:footnote w:id="21">
    <w:p w:rsidR="001A081F" w:rsidRDefault="001A081F" w:rsidP="003D488B">
      <w:pPr>
        <w:pStyle w:val="FootnoteText"/>
      </w:pPr>
      <w:r>
        <w:rPr>
          <w:rStyle w:val="FootnoteReference"/>
        </w:rPr>
        <w:footnoteRef/>
      </w:r>
      <w:r>
        <w:t xml:space="preserve"> </w:t>
      </w:r>
      <w:proofErr w:type="spellStart"/>
      <w:r>
        <w:t>TSD</w:t>
      </w:r>
      <w:proofErr w:type="spellEnd"/>
      <w:r>
        <w:t xml:space="preserve"> at 239.</w:t>
      </w:r>
    </w:p>
  </w:footnote>
  <w:footnote w:id="22">
    <w:p w:rsidR="001A081F" w:rsidRDefault="001A081F" w:rsidP="003D488B">
      <w:pPr>
        <w:pStyle w:val="FootnoteText"/>
      </w:pPr>
      <w:r>
        <w:rPr>
          <w:rStyle w:val="FootnoteReference"/>
        </w:rPr>
        <w:footnoteRef/>
      </w:r>
      <w:r>
        <w:t xml:space="preserve"> 8</w:t>
      </w:r>
      <w:bookmarkStart w:id="5" w:name="_BA_Cite_56BBB7_000294"/>
      <w:bookmarkEnd w:id="5"/>
      <w:r>
        <w:t>0 Fed. Reg. at 37,079.</w:t>
      </w:r>
    </w:p>
  </w:footnote>
  <w:footnote w:id="23">
    <w:p w:rsidR="001A081F" w:rsidRDefault="001A081F" w:rsidP="003D488B">
      <w:pPr>
        <w:pStyle w:val="FootnoteText"/>
      </w:pPr>
      <w:r>
        <w:rPr>
          <w:rStyle w:val="FootnoteReference"/>
        </w:rPr>
        <w:footnoteRef/>
      </w:r>
      <w:r>
        <w:t xml:space="preserve"> </w:t>
      </w:r>
      <w:r>
        <w:rPr>
          <w:i/>
        </w:rPr>
        <w:t xml:space="preserve">See </w:t>
      </w:r>
      <w:r>
        <w:t xml:space="preserve">Ariz. Mining </w:t>
      </w:r>
      <w:proofErr w:type="spellStart"/>
      <w:r>
        <w:t>Ass’n</w:t>
      </w:r>
      <w:proofErr w:type="spellEnd"/>
      <w:r>
        <w:t xml:space="preserve"> Comments 10-11 (quot</w:t>
      </w:r>
      <w:r>
        <w:softHyphen/>
        <w:t xml:space="preserve">ing U.S. Army Corps of </w:t>
      </w:r>
      <w:proofErr w:type="spellStart"/>
      <w:r>
        <w:t>Eng’rs</w:t>
      </w:r>
      <w:proofErr w:type="spellEnd"/>
      <w:r>
        <w:t xml:space="preserve">, </w:t>
      </w:r>
      <w:r>
        <w:rPr>
          <w:i/>
        </w:rPr>
        <w:t>Distribution of Ordinary High Water Mark (</w:t>
      </w:r>
      <w:proofErr w:type="spellStart"/>
      <w:r>
        <w:rPr>
          <w:i/>
        </w:rPr>
        <w:t>OHWM</w:t>
      </w:r>
      <w:proofErr w:type="spellEnd"/>
      <w:r>
        <w:rPr>
          <w:i/>
        </w:rPr>
        <w:t>) Indicators and Their Reliability</w:t>
      </w:r>
      <w:r>
        <w:t xml:space="preserve"> 14 (2006)).</w:t>
      </w:r>
    </w:p>
  </w:footnote>
  <w:footnote w:id="24">
    <w:p w:rsidR="001A081F" w:rsidRPr="00B65DD2" w:rsidRDefault="001A081F" w:rsidP="003D488B">
      <w:pPr>
        <w:pStyle w:val="FootnoteText"/>
      </w:pPr>
      <w:r>
        <w:rPr>
          <w:rStyle w:val="FootnoteReference"/>
        </w:rPr>
        <w:footnoteRef/>
      </w:r>
      <w:r>
        <w:t xml:space="preserve"> </w:t>
      </w:r>
      <w:r>
        <w:rPr>
          <w:i/>
        </w:rPr>
        <w:t>Id.</w:t>
      </w:r>
      <w:r>
        <w:t xml:space="preserve"> at 11 (quoting U</w:t>
      </w:r>
      <w:bookmarkStart w:id="6" w:name="_BA_Cite_56BBB7_000865"/>
      <w:bookmarkEnd w:id="6"/>
      <w:r>
        <w:t xml:space="preserve">.S. Army Corps of </w:t>
      </w:r>
      <w:proofErr w:type="spellStart"/>
      <w:r>
        <w:t>Eng’rs</w:t>
      </w:r>
      <w:proofErr w:type="spellEnd"/>
      <w:r>
        <w:t xml:space="preserve">, </w:t>
      </w:r>
      <w:r>
        <w:rPr>
          <w:i/>
        </w:rPr>
        <w:t xml:space="preserve">Survey of </w:t>
      </w:r>
      <w:proofErr w:type="spellStart"/>
      <w:r>
        <w:rPr>
          <w:i/>
        </w:rPr>
        <w:t>OHWM</w:t>
      </w:r>
      <w:proofErr w:type="spellEnd"/>
      <w:r>
        <w:rPr>
          <w:i/>
        </w:rPr>
        <w:t xml:space="preserve"> Indicator Distribu</w:t>
      </w:r>
      <w:r>
        <w:rPr>
          <w:i/>
        </w:rPr>
        <w:softHyphen/>
        <w:t>tion Patterns Across Arid West Landscapes</w:t>
      </w:r>
      <w:r>
        <w:t xml:space="preserve"> 17 (2013)).</w:t>
      </w:r>
    </w:p>
  </w:footnote>
  <w:footnote w:id="25">
    <w:p w:rsidR="001A081F" w:rsidRDefault="001A081F" w:rsidP="003D488B">
      <w:pPr>
        <w:pStyle w:val="FootnoteText"/>
      </w:pPr>
      <w:r>
        <w:rPr>
          <w:rStyle w:val="FootnoteReference"/>
        </w:rPr>
        <w:footnoteRef/>
      </w:r>
      <w:r>
        <w:t xml:space="preserve"> 3</w:t>
      </w:r>
      <w:bookmarkStart w:id="8" w:name="_BA_Cite_56BBB7_000314"/>
      <w:bookmarkEnd w:id="8"/>
      <w:r>
        <w:t>3 C.F.R. § 328.3(c)(2).</w:t>
      </w:r>
    </w:p>
  </w:footnote>
  <w:footnote w:id="26">
    <w:p w:rsidR="001A081F" w:rsidRDefault="001A081F" w:rsidP="003D488B">
      <w:pPr>
        <w:pStyle w:val="FootnoteText"/>
      </w:pPr>
      <w:r>
        <w:rPr>
          <w:rStyle w:val="FootnoteReference"/>
        </w:rPr>
        <w:footnoteRef/>
      </w:r>
      <w:r>
        <w:t xml:space="preserve"> 4</w:t>
      </w:r>
      <w:bookmarkStart w:id="10" w:name="_BA_Cite_56BBB7_000573"/>
      <w:bookmarkEnd w:id="10"/>
      <w:r>
        <w:t>74 U.S. at 135.</w:t>
      </w:r>
    </w:p>
  </w:footnote>
  <w:footnote w:id="27">
    <w:p w:rsidR="001A081F" w:rsidRPr="002F292A" w:rsidRDefault="001A081F" w:rsidP="003D488B">
      <w:pPr>
        <w:pStyle w:val="FootnoteText"/>
      </w:pPr>
      <w:r>
        <w:rPr>
          <w:rStyle w:val="FootnoteReference"/>
        </w:rPr>
        <w:footnoteRef/>
      </w:r>
      <w:r>
        <w:t xml:space="preserve"> </w:t>
      </w:r>
      <w:r>
        <w:rPr>
          <w:i/>
        </w:rPr>
        <w:t>Id.</w:t>
      </w:r>
      <w:r>
        <w:t xml:space="preserve"> at 134-35 &amp; n. 9.</w:t>
      </w:r>
    </w:p>
  </w:footnote>
  <w:footnote w:id="28">
    <w:p w:rsidR="001A081F" w:rsidRDefault="001A081F" w:rsidP="003D488B">
      <w:pPr>
        <w:pStyle w:val="FootnoteText"/>
      </w:pPr>
      <w:r>
        <w:rPr>
          <w:rStyle w:val="FootnoteReference"/>
        </w:rPr>
        <w:footnoteRef/>
      </w:r>
      <w:r>
        <w:t xml:space="preserve"> 5</w:t>
      </w:r>
      <w:bookmarkStart w:id="12" w:name="_BA_Cite_56BBB7_000575"/>
      <w:bookmarkEnd w:id="12"/>
      <w:r>
        <w:t>31 U.S. at 167-68, 171.</w:t>
      </w:r>
    </w:p>
  </w:footnote>
  <w:footnote w:id="29">
    <w:p w:rsidR="001A081F" w:rsidRDefault="001A081F" w:rsidP="003D488B">
      <w:pPr>
        <w:pStyle w:val="FootnoteText"/>
      </w:pPr>
      <w:r>
        <w:rPr>
          <w:rStyle w:val="FootnoteReference"/>
        </w:rPr>
        <w:footnoteRef/>
      </w:r>
      <w:r>
        <w:t xml:space="preserve"> 547 U.S. at 748.</w:t>
      </w:r>
    </w:p>
  </w:footnote>
  <w:footnote w:id="30">
    <w:p w:rsidR="001A081F" w:rsidRDefault="001A081F" w:rsidP="00046ABE">
      <w:pPr>
        <w:pStyle w:val="FootnoteText"/>
      </w:pPr>
      <w:r>
        <w:rPr>
          <w:rStyle w:val="FootnoteReference"/>
        </w:rPr>
        <w:footnoteRef/>
      </w:r>
      <w:r>
        <w:t xml:space="preserve"> </w:t>
      </w:r>
      <w:r>
        <w:rPr>
          <w:i/>
        </w:rPr>
        <w:t xml:space="preserve">Id. </w:t>
      </w:r>
      <w:r>
        <w:t>at 742.</w:t>
      </w:r>
    </w:p>
  </w:footnote>
  <w:footnote w:id="31">
    <w:p w:rsidR="001A081F" w:rsidRDefault="001A081F" w:rsidP="003D488B">
      <w:pPr>
        <w:pStyle w:val="FootnoteText"/>
      </w:pPr>
      <w:r>
        <w:rPr>
          <w:rStyle w:val="FootnoteReference"/>
        </w:rPr>
        <w:footnoteRef/>
      </w:r>
      <w:r>
        <w:t xml:space="preserve"> </w:t>
      </w:r>
      <w:r>
        <w:rPr>
          <w:i/>
        </w:rPr>
        <w:t>Id.</w:t>
      </w:r>
      <w:r>
        <w:t xml:space="preserve"> at 781.</w:t>
      </w:r>
    </w:p>
  </w:footnote>
  <w:footnote w:id="32">
    <w:p w:rsidR="001A081F" w:rsidRDefault="001A081F" w:rsidP="003D488B">
      <w:pPr>
        <w:pStyle w:val="FootnoteText"/>
      </w:pPr>
      <w:r>
        <w:rPr>
          <w:rStyle w:val="FootnoteReference"/>
        </w:rPr>
        <w:footnoteRef/>
      </w:r>
      <w:r>
        <w:t xml:space="preserve"> </w:t>
      </w:r>
      <w:r>
        <w:rPr>
          <w:i/>
        </w:rPr>
        <w:t>I</w:t>
      </w:r>
      <w:bookmarkStart w:id="16" w:name="_BA_Cite_56BBB7_000715"/>
      <w:bookmarkEnd w:id="16"/>
      <w:r>
        <w:rPr>
          <w:i/>
        </w:rPr>
        <w:t>d.</w:t>
      </w:r>
      <w:r>
        <w:t xml:space="preserve"> at 781-782.</w:t>
      </w:r>
    </w:p>
  </w:footnote>
  <w:footnote w:id="33">
    <w:p w:rsidR="001A081F" w:rsidRDefault="001A081F" w:rsidP="003D488B">
      <w:pPr>
        <w:pStyle w:val="FootnoteText"/>
      </w:pPr>
      <w:r>
        <w:rPr>
          <w:rStyle w:val="FootnoteReference"/>
        </w:rPr>
        <w:footnoteRef/>
      </w:r>
      <w:r>
        <w:t xml:space="preserve"> 5</w:t>
      </w:r>
      <w:bookmarkStart w:id="19" w:name="_BA_Cite_56BBB7_000582"/>
      <w:bookmarkEnd w:id="19"/>
      <w:r>
        <w:t>47 U.S. at 742.</w:t>
      </w:r>
    </w:p>
  </w:footnote>
  <w:footnote w:id="34">
    <w:p w:rsidR="001A081F" w:rsidRDefault="001A081F" w:rsidP="003D488B">
      <w:pPr>
        <w:pStyle w:val="FootnoteText"/>
      </w:pPr>
      <w:r>
        <w:rPr>
          <w:rStyle w:val="FootnoteReference"/>
        </w:rPr>
        <w:footnoteRef/>
      </w:r>
      <w:r>
        <w:t xml:space="preserve"> </w:t>
      </w:r>
      <w:r>
        <w:rPr>
          <w:i/>
        </w:rPr>
        <w:t>See S</w:t>
      </w:r>
      <w:bookmarkStart w:id="20" w:name="_BA_Cite_56BBB7_000084"/>
      <w:bookmarkEnd w:id="20"/>
      <w:r>
        <w:rPr>
          <w:i/>
        </w:rPr>
        <w:t xml:space="preserve">.F. </w:t>
      </w:r>
      <w:proofErr w:type="spellStart"/>
      <w:r>
        <w:rPr>
          <w:i/>
        </w:rPr>
        <w:t>Baykeeper</w:t>
      </w:r>
      <w:proofErr w:type="spellEnd"/>
      <w:r>
        <w:rPr>
          <w:i/>
        </w:rPr>
        <w:t xml:space="preserve"> v. Cargill Salt Div.</w:t>
      </w:r>
      <w:r>
        <w:t xml:space="preserve">, 481 </w:t>
      </w:r>
      <w:proofErr w:type="spellStart"/>
      <w:r>
        <w:t>F.3d</w:t>
      </w:r>
      <w:proofErr w:type="spellEnd"/>
      <w:r>
        <w:t xml:space="preserve"> 700, 708 (9th Cir. 2007).</w:t>
      </w:r>
    </w:p>
  </w:footnote>
  <w:footnote w:id="35">
    <w:p w:rsidR="001A081F" w:rsidRDefault="001A081F" w:rsidP="003D488B">
      <w:pPr>
        <w:pStyle w:val="FootnoteText"/>
      </w:pPr>
      <w:r>
        <w:rPr>
          <w:rStyle w:val="FootnoteReference"/>
        </w:rPr>
        <w:footnoteRef/>
      </w:r>
      <w:r>
        <w:t xml:space="preserve"> 547 U.S. at 780</w:t>
      </w:r>
      <w:r w:rsidR="006D4751">
        <w:t xml:space="preserve"> (emphasis added)</w:t>
      </w:r>
      <w:r>
        <w:t>.</w:t>
      </w:r>
    </w:p>
  </w:footnote>
  <w:footnote w:id="36">
    <w:p w:rsidR="001A081F" w:rsidRPr="005C553C" w:rsidRDefault="001A081F" w:rsidP="003D488B">
      <w:pPr>
        <w:pStyle w:val="FootnoteText"/>
      </w:pPr>
      <w:r>
        <w:rPr>
          <w:rStyle w:val="FootnoteReference"/>
        </w:rPr>
        <w:footnoteRef/>
      </w:r>
      <w:r>
        <w:t xml:space="preserve"> </w:t>
      </w:r>
      <w:r>
        <w:rPr>
          <w:i/>
        </w:rPr>
        <w:t>Id.</w:t>
      </w:r>
    </w:p>
  </w:footnote>
  <w:footnote w:id="37">
    <w:p w:rsidR="001A081F" w:rsidRDefault="001A081F" w:rsidP="003D488B">
      <w:pPr>
        <w:pStyle w:val="FootnoteText"/>
      </w:pPr>
      <w:r>
        <w:rPr>
          <w:rStyle w:val="FootnoteReference"/>
        </w:rPr>
        <w:footnoteRef/>
      </w:r>
      <w:r>
        <w:t xml:space="preserve"> </w:t>
      </w:r>
      <w:r>
        <w:rPr>
          <w:i/>
        </w:rPr>
        <w:t xml:space="preserve">See </w:t>
      </w:r>
      <w:r>
        <w:t>3</w:t>
      </w:r>
      <w:bookmarkStart w:id="23" w:name="_BA_Cite_56BBB7_000326"/>
      <w:bookmarkEnd w:id="23"/>
      <w:r>
        <w:t>3 C.F.R. § 328.3(c)(5) (em</w:t>
      </w:r>
      <w:r>
        <w:softHyphen/>
        <w:t>phasis added).</w:t>
      </w:r>
    </w:p>
  </w:footnote>
  <w:footnote w:id="38">
    <w:p w:rsidR="001A081F" w:rsidRDefault="001A081F" w:rsidP="003D488B">
      <w:pPr>
        <w:pStyle w:val="FootnoteText"/>
      </w:pPr>
      <w:r>
        <w:rPr>
          <w:rStyle w:val="FootnoteReference"/>
        </w:rPr>
        <w:footnoteRef/>
      </w:r>
      <w:r>
        <w:t xml:space="preserve"> </w:t>
      </w:r>
      <w:bookmarkStart w:id="24" w:name="_BA_Cite_56BBB7_000328"/>
      <w:bookmarkEnd w:id="24"/>
      <w:r>
        <w:rPr>
          <w:i/>
        </w:rPr>
        <w:t xml:space="preserve">See </w:t>
      </w:r>
      <w:r>
        <w:t>33 C.F.R. 328.3(c)(5)(ix).</w:t>
      </w:r>
    </w:p>
  </w:footnote>
  <w:footnote w:id="39">
    <w:p w:rsidR="001A081F" w:rsidRDefault="001A081F" w:rsidP="003D488B">
      <w:pPr>
        <w:pStyle w:val="FootnoteText"/>
      </w:pPr>
      <w:r>
        <w:rPr>
          <w:rStyle w:val="FootnoteReference"/>
        </w:rPr>
        <w:footnoteRef/>
      </w:r>
      <w:r>
        <w:t xml:space="preserve"> </w:t>
      </w:r>
      <w:proofErr w:type="spellStart"/>
      <w:r>
        <w:rPr>
          <w:i/>
        </w:rPr>
        <w:t>S</w:t>
      </w:r>
      <w:bookmarkStart w:id="25" w:name="_BA_Cite_56BBB7_000546"/>
      <w:bookmarkEnd w:id="25"/>
      <w:r>
        <w:rPr>
          <w:i/>
        </w:rPr>
        <w:t>WANCC</w:t>
      </w:r>
      <w:proofErr w:type="spellEnd"/>
      <w:r>
        <w:t>, 531 U.S. at 171-72.</w:t>
      </w:r>
    </w:p>
  </w:footnote>
  <w:footnote w:id="40">
    <w:p w:rsidR="001A081F" w:rsidRPr="00B43353" w:rsidRDefault="001A081F" w:rsidP="003D488B">
      <w:pPr>
        <w:pStyle w:val="FootnoteText"/>
      </w:pPr>
      <w:r>
        <w:rPr>
          <w:rStyle w:val="FootnoteReference"/>
        </w:rPr>
        <w:footnoteRef/>
      </w:r>
      <w:r>
        <w:t xml:space="preserve"> </w:t>
      </w:r>
      <w:r>
        <w:rPr>
          <w:i/>
        </w:rPr>
        <w:t>Id.</w:t>
      </w:r>
    </w:p>
  </w:footnote>
  <w:footnote w:id="41">
    <w:p w:rsidR="001A081F" w:rsidRPr="00B43353" w:rsidRDefault="001A081F" w:rsidP="003D488B">
      <w:pPr>
        <w:pStyle w:val="FootnoteText"/>
      </w:pPr>
      <w:r>
        <w:rPr>
          <w:rStyle w:val="FootnoteReference"/>
        </w:rPr>
        <w:footnoteRef/>
      </w:r>
      <w:r>
        <w:t xml:space="preserve"> </w:t>
      </w:r>
      <w:r>
        <w:rPr>
          <w:i/>
        </w:rPr>
        <w:t>Id.</w:t>
      </w:r>
      <w:r>
        <w:t xml:space="preserve"> at 37,063.</w:t>
      </w:r>
    </w:p>
  </w:footnote>
  <w:footnote w:id="42">
    <w:p w:rsidR="001A081F" w:rsidRPr="005477B5" w:rsidRDefault="001A081F" w:rsidP="003D488B">
      <w:pPr>
        <w:pStyle w:val="FootnoteText"/>
      </w:pPr>
      <w:r>
        <w:rPr>
          <w:rStyle w:val="FootnoteReference"/>
        </w:rPr>
        <w:footnoteRef/>
      </w:r>
      <w:r>
        <w:t xml:space="preserve"> 531 U.S. at 174.</w:t>
      </w:r>
    </w:p>
  </w:footnote>
  <w:footnote w:id="43">
    <w:p w:rsidR="001A081F" w:rsidRDefault="001A081F" w:rsidP="003D488B">
      <w:pPr>
        <w:pStyle w:val="FootnoteText"/>
      </w:pPr>
      <w:r>
        <w:rPr>
          <w:rStyle w:val="FootnoteReference"/>
        </w:rPr>
        <w:footnoteRef/>
      </w:r>
      <w:r>
        <w:t xml:space="preserve"> </w:t>
      </w:r>
      <w:r>
        <w:rPr>
          <w:i/>
        </w:rPr>
        <w:t xml:space="preserve">See </w:t>
      </w:r>
      <w:r>
        <w:t>3</w:t>
      </w:r>
      <w:bookmarkStart w:id="26" w:name="_BA_Cite_56BBB7_000867"/>
      <w:bookmarkEnd w:id="26"/>
      <w:r>
        <w:t>3 C.F.R</w:t>
      </w:r>
      <w:r>
        <w:rPr>
          <w:i/>
        </w:rPr>
        <w:t xml:space="preserve">. </w:t>
      </w:r>
      <w:r w:rsidRPr="00011B54">
        <w:t>§</w:t>
      </w:r>
      <w:r>
        <w:rPr>
          <w:i/>
        </w:rPr>
        <w:t xml:space="preserve"> </w:t>
      </w:r>
      <w:r>
        <w:t>328.3(c)(2)(ii).</w:t>
      </w:r>
    </w:p>
  </w:footnote>
  <w:footnote w:id="44">
    <w:p w:rsidR="001A081F" w:rsidRDefault="001A081F" w:rsidP="003D488B">
      <w:pPr>
        <w:pStyle w:val="FootnoteText"/>
      </w:pPr>
      <w:r>
        <w:rPr>
          <w:rStyle w:val="FootnoteReference"/>
        </w:rPr>
        <w:footnoteRef/>
      </w:r>
      <w:r>
        <w:t xml:space="preserve"> </w:t>
      </w:r>
      <w:r>
        <w:rPr>
          <w:i/>
        </w:rPr>
        <w:t>I</w:t>
      </w:r>
      <w:bookmarkStart w:id="27" w:name="_BA_Cite_56BBB7_000723"/>
      <w:bookmarkEnd w:id="27"/>
      <w:r>
        <w:rPr>
          <w:i/>
        </w:rPr>
        <w:t>d</w:t>
      </w:r>
      <w:r>
        <w:t>. § 328.3(c)(2)(i), (iii).</w:t>
      </w:r>
    </w:p>
  </w:footnote>
  <w:footnote w:id="45">
    <w:p w:rsidR="001A081F" w:rsidRDefault="001A081F" w:rsidP="003D488B">
      <w:pPr>
        <w:pStyle w:val="FootnoteText"/>
      </w:pPr>
      <w:r>
        <w:rPr>
          <w:rStyle w:val="FootnoteReference"/>
        </w:rPr>
        <w:footnoteRef/>
      </w:r>
      <w:r>
        <w:t xml:space="preserve"> </w:t>
      </w:r>
      <w:bookmarkStart w:id="28" w:name="_BA_Cite_56BBB7_000330"/>
      <w:bookmarkEnd w:id="28"/>
      <w:r>
        <w:rPr>
          <w:i/>
        </w:rPr>
        <w:t>Id.</w:t>
      </w:r>
      <w:r>
        <w:t xml:space="preserve"> § 328.3(a)(8).</w:t>
      </w:r>
    </w:p>
  </w:footnote>
  <w:footnote w:id="46">
    <w:p w:rsidR="001A081F" w:rsidRDefault="001A081F" w:rsidP="003D488B">
      <w:pPr>
        <w:pStyle w:val="FootnoteText"/>
      </w:pPr>
      <w:r>
        <w:rPr>
          <w:rStyle w:val="FootnoteReference"/>
        </w:rPr>
        <w:footnoteRef/>
      </w:r>
      <w:r>
        <w:t xml:space="preserve"> </w:t>
      </w:r>
      <w:r>
        <w:rPr>
          <w:i/>
        </w:rPr>
        <w:t>See</w:t>
      </w:r>
      <w:r>
        <w:t xml:space="preserve"> 8</w:t>
      </w:r>
      <w:bookmarkStart w:id="29" w:name="_BA_Cite_56BBB7_000332"/>
      <w:bookmarkEnd w:id="29"/>
      <w:r>
        <w:t>0 Fed. Reg. at 37,089.</w:t>
      </w:r>
    </w:p>
  </w:footnote>
  <w:footnote w:id="47">
    <w:p w:rsidR="001A081F" w:rsidRDefault="001A081F" w:rsidP="000B56F6">
      <w:pPr>
        <w:pStyle w:val="FootnoteText"/>
      </w:pPr>
      <w:r>
        <w:rPr>
          <w:rStyle w:val="FootnoteReference"/>
        </w:rPr>
        <w:footnoteRef/>
      </w:r>
      <w:r>
        <w:t xml:space="preserve"> </w:t>
      </w:r>
      <w:r>
        <w:rPr>
          <w:i/>
        </w:rPr>
        <w:t xml:space="preserve">See </w:t>
      </w:r>
      <w:r>
        <w:t>E</w:t>
      </w:r>
      <w:bookmarkStart w:id="30" w:name="_BA_Cite_56BBB7_000869"/>
      <w:bookmarkEnd w:id="30"/>
      <w:r>
        <w:t xml:space="preserve">PA, </w:t>
      </w:r>
      <w:r>
        <w:rPr>
          <w:i/>
        </w:rPr>
        <w:t>Questions and Answers</w:t>
      </w:r>
      <w:r>
        <w:t>—</w:t>
      </w:r>
      <w:r>
        <w:rPr>
          <w:i/>
        </w:rPr>
        <w:t xml:space="preserve">Waters of the U.S. Proposal </w:t>
      </w:r>
      <w:r>
        <w:t>5, perma.cc/</w:t>
      </w:r>
      <w:proofErr w:type="spellStart"/>
      <w:r>
        <w:t>7RRP-V46X</w:t>
      </w:r>
      <w:proofErr w:type="spellEnd"/>
      <w:r>
        <w:t>.</w:t>
      </w:r>
    </w:p>
  </w:footnote>
  <w:footnote w:id="48">
    <w:p w:rsidR="001A081F" w:rsidRPr="005F1ECC" w:rsidRDefault="001A081F" w:rsidP="003D488B">
      <w:pPr>
        <w:pStyle w:val="FootnoteText"/>
      </w:pPr>
      <w:r>
        <w:rPr>
          <w:rStyle w:val="FootnoteReference"/>
        </w:rPr>
        <w:footnoteRef/>
      </w:r>
      <w:r>
        <w:t xml:space="preserve"> 8</w:t>
      </w:r>
      <w:bookmarkStart w:id="31" w:name="_BA_Cite_56BBB7_000336"/>
      <w:bookmarkEnd w:id="31"/>
      <w:r>
        <w:t xml:space="preserve">0 Fed. Reg. at 37,085; </w:t>
      </w:r>
      <w:r>
        <w:rPr>
          <w:i/>
        </w:rPr>
        <w:t>see also id.</w:t>
      </w:r>
      <w:r>
        <w:t xml:space="preserve"> at 37,090 (referencing the Agencies’ “extensive experience making significant nexus determinations” as having “informed the[</w:t>
      </w:r>
      <w:proofErr w:type="spellStart"/>
      <w:r>
        <w:t>ir</w:t>
      </w:r>
      <w:proofErr w:type="spellEnd"/>
      <w:r>
        <w:t>] judgment” in selecting the 4,000-foot boundary).</w:t>
      </w:r>
    </w:p>
  </w:footnote>
  <w:footnote w:id="49">
    <w:p w:rsidR="001A081F" w:rsidRDefault="001A081F" w:rsidP="003D488B">
      <w:pPr>
        <w:pStyle w:val="FootnoteText"/>
      </w:pPr>
      <w:r>
        <w:rPr>
          <w:rStyle w:val="FootnoteReference"/>
        </w:rPr>
        <w:footnoteRef/>
      </w:r>
      <w:r>
        <w:t xml:space="preserve"> </w:t>
      </w:r>
      <w:r>
        <w:rPr>
          <w:i/>
        </w:rPr>
        <w:t>See</w:t>
      </w:r>
      <w:r>
        <w:t xml:space="preserve"> </w:t>
      </w:r>
      <w:r w:rsidR="002C0345">
        <w:rPr>
          <w:i/>
        </w:rPr>
        <w:t>id.</w:t>
      </w:r>
      <w:r>
        <w:t xml:space="preserve"> at 37,090 (acknowledging that “the science does not point to any partic</w:t>
      </w:r>
      <w:r>
        <w:softHyphen/>
        <w:t>ular bright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1F" w:rsidRDefault="001A081F" w:rsidP="008F1CC2">
    <w:pPr>
      <w:pStyle w:val="Header"/>
      <w:jc w:val="center"/>
      <w:rPr>
        <w:color w:val="FFFFFF" w:themeColor="background1"/>
      </w:rPr>
    </w:pPr>
  </w:p>
  <w:p w:rsidR="001A081F" w:rsidRDefault="001A081F" w:rsidP="008F1CC2">
    <w:pPr>
      <w:pStyle w:val="Header"/>
      <w:jc w:val="center"/>
      <w:rPr>
        <w:color w:val="FFFFFF" w:themeColor="background1"/>
      </w:rPr>
    </w:pPr>
  </w:p>
  <w:p w:rsidR="001A081F" w:rsidRDefault="001A081F" w:rsidP="008F1C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F2B0AE"/>
    <w:lvl w:ilvl="0">
      <w:start w:val="1"/>
      <w:numFmt w:val="upperRoman"/>
      <w:pStyle w:val="ListNumber"/>
      <w:lvlText w:val="%1."/>
      <w:lvlJc w:val="left"/>
      <w:pPr>
        <w:ind w:left="360" w:hanging="360"/>
      </w:pPr>
      <w:rPr>
        <w:rFonts w:hint="default"/>
      </w:rPr>
    </w:lvl>
  </w:abstractNum>
  <w:abstractNum w:abstractNumId="1" w15:restartNumberingAfterBreak="0">
    <w:nsid w:val="03C142B8"/>
    <w:multiLevelType w:val="hybridMultilevel"/>
    <w:tmpl w:val="BC4E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33FC5"/>
    <w:multiLevelType w:val="hybridMultilevel"/>
    <w:tmpl w:val="69D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4A42"/>
    <w:multiLevelType w:val="hybridMultilevel"/>
    <w:tmpl w:val="185E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16A6"/>
    <w:multiLevelType w:val="hybridMultilevel"/>
    <w:tmpl w:val="3F4CB224"/>
    <w:lvl w:ilvl="0" w:tplc="7882860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82B87"/>
    <w:multiLevelType w:val="hybridMultilevel"/>
    <w:tmpl w:val="1450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0D1DB0"/>
    <w:multiLevelType w:val="hybridMultilevel"/>
    <w:tmpl w:val="048A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2D162F"/>
    <w:multiLevelType w:val="hybridMultilevel"/>
    <w:tmpl w:val="97C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329C9"/>
    <w:multiLevelType w:val="hybridMultilevel"/>
    <w:tmpl w:val="673C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8A3559"/>
    <w:multiLevelType w:val="hybridMultilevel"/>
    <w:tmpl w:val="B0F6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F6F3C"/>
    <w:multiLevelType w:val="hybridMultilevel"/>
    <w:tmpl w:val="43940152"/>
    <w:lvl w:ilvl="0" w:tplc="12443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B0323"/>
    <w:multiLevelType w:val="hybridMultilevel"/>
    <w:tmpl w:val="8376B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CF6BA2"/>
    <w:multiLevelType w:val="hybridMultilevel"/>
    <w:tmpl w:val="CBD8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451671"/>
    <w:multiLevelType w:val="hybridMultilevel"/>
    <w:tmpl w:val="9C0A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00450E"/>
    <w:multiLevelType w:val="hybridMultilevel"/>
    <w:tmpl w:val="C448A82E"/>
    <w:lvl w:ilvl="0" w:tplc="943A0A8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4EEC"/>
    <w:multiLevelType w:val="hybridMultilevel"/>
    <w:tmpl w:val="17206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43E75"/>
    <w:multiLevelType w:val="hybridMultilevel"/>
    <w:tmpl w:val="C20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96AD8"/>
    <w:multiLevelType w:val="hybridMultilevel"/>
    <w:tmpl w:val="4DBA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BC02DC"/>
    <w:multiLevelType w:val="hybridMultilevel"/>
    <w:tmpl w:val="C9D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1C1A"/>
    <w:multiLevelType w:val="hybridMultilevel"/>
    <w:tmpl w:val="9DA8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C66051"/>
    <w:multiLevelType w:val="hybridMultilevel"/>
    <w:tmpl w:val="90A6B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D3413A"/>
    <w:multiLevelType w:val="hybridMultilevel"/>
    <w:tmpl w:val="974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362F"/>
    <w:multiLevelType w:val="hybridMultilevel"/>
    <w:tmpl w:val="C78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21CAE"/>
    <w:multiLevelType w:val="hybridMultilevel"/>
    <w:tmpl w:val="F59C2D8A"/>
    <w:lvl w:ilvl="0" w:tplc="12443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15"/>
  </w:num>
  <w:num w:numId="5">
    <w:abstractNumId w:val="22"/>
  </w:num>
  <w:num w:numId="6">
    <w:abstractNumId w:val="11"/>
  </w:num>
  <w:num w:numId="7">
    <w:abstractNumId w:val="16"/>
  </w:num>
  <w:num w:numId="8">
    <w:abstractNumId w:val="20"/>
  </w:num>
  <w:num w:numId="9">
    <w:abstractNumId w:val="7"/>
  </w:num>
  <w:num w:numId="10">
    <w:abstractNumId w:val="18"/>
  </w:num>
  <w:num w:numId="11">
    <w:abstractNumId w:val="3"/>
  </w:num>
  <w:num w:numId="12">
    <w:abstractNumId w:val="9"/>
  </w:num>
  <w:num w:numId="13">
    <w:abstractNumId w:val="2"/>
  </w:num>
  <w:num w:numId="14">
    <w:abstractNumId w:val="17"/>
  </w:num>
  <w:num w:numId="15">
    <w:abstractNumId w:val="12"/>
  </w:num>
  <w:num w:numId="16">
    <w:abstractNumId w:val="8"/>
  </w:num>
  <w:num w:numId="17">
    <w:abstractNumId w:val="6"/>
  </w:num>
  <w:num w:numId="18">
    <w:abstractNumId w:val="5"/>
  </w:num>
  <w:num w:numId="19">
    <w:abstractNumId w:val="1"/>
  </w:num>
  <w:num w:numId="20">
    <w:abstractNumId w:val="13"/>
  </w:num>
  <w:num w:numId="21">
    <w:abstractNumId w:val="0"/>
  </w:num>
  <w:num w:numId="22">
    <w:abstractNumId w:val="14"/>
  </w:num>
  <w:num w:numId="23">
    <w:abstractNumId w:val="4"/>
  </w:num>
  <w:num w:numId="24">
    <w:abstractNumId w:val="4"/>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6AA"/>
    <w:rsid w:val="000068A9"/>
    <w:rsid w:val="000103B4"/>
    <w:rsid w:val="0001265B"/>
    <w:rsid w:val="00016AFD"/>
    <w:rsid w:val="00021F00"/>
    <w:rsid w:val="00023D76"/>
    <w:rsid w:val="000272E2"/>
    <w:rsid w:val="00030AE1"/>
    <w:rsid w:val="00031A44"/>
    <w:rsid w:val="00032C3C"/>
    <w:rsid w:val="0003349D"/>
    <w:rsid w:val="00033CE2"/>
    <w:rsid w:val="00033EDF"/>
    <w:rsid w:val="00035ED3"/>
    <w:rsid w:val="00036FCF"/>
    <w:rsid w:val="00037145"/>
    <w:rsid w:val="00040D78"/>
    <w:rsid w:val="000419FE"/>
    <w:rsid w:val="00041F42"/>
    <w:rsid w:val="00044E81"/>
    <w:rsid w:val="00045CF5"/>
    <w:rsid w:val="00046ABE"/>
    <w:rsid w:val="000557E2"/>
    <w:rsid w:val="00061D12"/>
    <w:rsid w:val="00061FFB"/>
    <w:rsid w:val="00062226"/>
    <w:rsid w:val="0006523D"/>
    <w:rsid w:val="00067978"/>
    <w:rsid w:val="00067CF0"/>
    <w:rsid w:val="00071F68"/>
    <w:rsid w:val="00075882"/>
    <w:rsid w:val="000760C8"/>
    <w:rsid w:val="0007686B"/>
    <w:rsid w:val="0008590C"/>
    <w:rsid w:val="00086A7D"/>
    <w:rsid w:val="00090CDA"/>
    <w:rsid w:val="0009115B"/>
    <w:rsid w:val="00091594"/>
    <w:rsid w:val="000935C8"/>
    <w:rsid w:val="00094D4D"/>
    <w:rsid w:val="00095042"/>
    <w:rsid w:val="00095055"/>
    <w:rsid w:val="00096E66"/>
    <w:rsid w:val="000A0338"/>
    <w:rsid w:val="000A4369"/>
    <w:rsid w:val="000B2BBC"/>
    <w:rsid w:val="000B56F6"/>
    <w:rsid w:val="000C3195"/>
    <w:rsid w:val="000C4B33"/>
    <w:rsid w:val="000C5053"/>
    <w:rsid w:val="000C60E1"/>
    <w:rsid w:val="000C7289"/>
    <w:rsid w:val="000D42D9"/>
    <w:rsid w:val="000D51BA"/>
    <w:rsid w:val="000D5CE9"/>
    <w:rsid w:val="000D5E3B"/>
    <w:rsid w:val="000E159B"/>
    <w:rsid w:val="000E3220"/>
    <w:rsid w:val="000E34D3"/>
    <w:rsid w:val="000E6750"/>
    <w:rsid w:val="000F7A40"/>
    <w:rsid w:val="00103622"/>
    <w:rsid w:val="00104943"/>
    <w:rsid w:val="001106AD"/>
    <w:rsid w:val="00113097"/>
    <w:rsid w:val="0011727A"/>
    <w:rsid w:val="0012224D"/>
    <w:rsid w:val="001223BA"/>
    <w:rsid w:val="001248D1"/>
    <w:rsid w:val="0013060C"/>
    <w:rsid w:val="001306E5"/>
    <w:rsid w:val="00130830"/>
    <w:rsid w:val="00130860"/>
    <w:rsid w:val="00130A4D"/>
    <w:rsid w:val="00130DBE"/>
    <w:rsid w:val="001319A2"/>
    <w:rsid w:val="00134FF1"/>
    <w:rsid w:val="00135B0D"/>
    <w:rsid w:val="00141863"/>
    <w:rsid w:val="00141AD7"/>
    <w:rsid w:val="001430A1"/>
    <w:rsid w:val="001437AB"/>
    <w:rsid w:val="001466EF"/>
    <w:rsid w:val="00146BF9"/>
    <w:rsid w:val="001617F0"/>
    <w:rsid w:val="00164597"/>
    <w:rsid w:val="001646A8"/>
    <w:rsid w:val="00164939"/>
    <w:rsid w:val="00173F40"/>
    <w:rsid w:val="001759A4"/>
    <w:rsid w:val="00175BF6"/>
    <w:rsid w:val="00176141"/>
    <w:rsid w:val="00182993"/>
    <w:rsid w:val="00183A99"/>
    <w:rsid w:val="0018416C"/>
    <w:rsid w:val="0019099B"/>
    <w:rsid w:val="00192970"/>
    <w:rsid w:val="00194648"/>
    <w:rsid w:val="00195645"/>
    <w:rsid w:val="00197AE7"/>
    <w:rsid w:val="001A0400"/>
    <w:rsid w:val="001A081F"/>
    <w:rsid w:val="001A7E43"/>
    <w:rsid w:val="001B086E"/>
    <w:rsid w:val="001B31BD"/>
    <w:rsid w:val="001B6DBE"/>
    <w:rsid w:val="001C1CD7"/>
    <w:rsid w:val="001C3454"/>
    <w:rsid w:val="001C4197"/>
    <w:rsid w:val="001C494D"/>
    <w:rsid w:val="001C7384"/>
    <w:rsid w:val="001C7AEC"/>
    <w:rsid w:val="001D11C0"/>
    <w:rsid w:val="001D1962"/>
    <w:rsid w:val="001D2E17"/>
    <w:rsid w:val="001D358E"/>
    <w:rsid w:val="001D380B"/>
    <w:rsid w:val="001E0C0C"/>
    <w:rsid w:val="001E12DA"/>
    <w:rsid w:val="001E1D2F"/>
    <w:rsid w:val="001E27B4"/>
    <w:rsid w:val="001E3DD2"/>
    <w:rsid w:val="001E3FE9"/>
    <w:rsid w:val="001E6FC3"/>
    <w:rsid w:val="001E799F"/>
    <w:rsid w:val="00200A35"/>
    <w:rsid w:val="00201B90"/>
    <w:rsid w:val="00202E13"/>
    <w:rsid w:val="00203D86"/>
    <w:rsid w:val="00203D97"/>
    <w:rsid w:val="002064AF"/>
    <w:rsid w:val="00207650"/>
    <w:rsid w:val="00213438"/>
    <w:rsid w:val="00214536"/>
    <w:rsid w:val="00216199"/>
    <w:rsid w:val="002171E3"/>
    <w:rsid w:val="00222B9E"/>
    <w:rsid w:val="00222FDE"/>
    <w:rsid w:val="00235550"/>
    <w:rsid w:val="002518C7"/>
    <w:rsid w:val="0025534A"/>
    <w:rsid w:val="002601D9"/>
    <w:rsid w:val="00260B7C"/>
    <w:rsid w:val="00262F22"/>
    <w:rsid w:val="0026352B"/>
    <w:rsid w:val="00267DFD"/>
    <w:rsid w:val="002722D8"/>
    <w:rsid w:val="002722FB"/>
    <w:rsid w:val="0027351B"/>
    <w:rsid w:val="00276018"/>
    <w:rsid w:val="002776E3"/>
    <w:rsid w:val="00280925"/>
    <w:rsid w:val="00283BA5"/>
    <w:rsid w:val="0028672C"/>
    <w:rsid w:val="00290AFF"/>
    <w:rsid w:val="00291282"/>
    <w:rsid w:val="00296ED3"/>
    <w:rsid w:val="002A05E8"/>
    <w:rsid w:val="002A17D1"/>
    <w:rsid w:val="002A323A"/>
    <w:rsid w:val="002A570B"/>
    <w:rsid w:val="002A77C8"/>
    <w:rsid w:val="002B16F2"/>
    <w:rsid w:val="002B6306"/>
    <w:rsid w:val="002C0345"/>
    <w:rsid w:val="002C6489"/>
    <w:rsid w:val="002C7D68"/>
    <w:rsid w:val="002D01E2"/>
    <w:rsid w:val="002D1841"/>
    <w:rsid w:val="002D2027"/>
    <w:rsid w:val="002D312B"/>
    <w:rsid w:val="002D35AE"/>
    <w:rsid w:val="002D380D"/>
    <w:rsid w:val="002D412F"/>
    <w:rsid w:val="002D4F7E"/>
    <w:rsid w:val="002D6904"/>
    <w:rsid w:val="002E1AB7"/>
    <w:rsid w:val="002E1CEB"/>
    <w:rsid w:val="002E3351"/>
    <w:rsid w:val="002E5938"/>
    <w:rsid w:val="002E714E"/>
    <w:rsid w:val="002E730A"/>
    <w:rsid w:val="00303A8E"/>
    <w:rsid w:val="0030547C"/>
    <w:rsid w:val="00305837"/>
    <w:rsid w:val="00307720"/>
    <w:rsid w:val="00312791"/>
    <w:rsid w:val="00313E0B"/>
    <w:rsid w:val="0031483D"/>
    <w:rsid w:val="0031689C"/>
    <w:rsid w:val="00317F77"/>
    <w:rsid w:val="00325EE9"/>
    <w:rsid w:val="00326100"/>
    <w:rsid w:val="003345B4"/>
    <w:rsid w:val="0033482A"/>
    <w:rsid w:val="00342C35"/>
    <w:rsid w:val="00342CFE"/>
    <w:rsid w:val="003438E5"/>
    <w:rsid w:val="003452B3"/>
    <w:rsid w:val="0034599E"/>
    <w:rsid w:val="003470E5"/>
    <w:rsid w:val="00352442"/>
    <w:rsid w:val="003601E0"/>
    <w:rsid w:val="0036763F"/>
    <w:rsid w:val="003749BF"/>
    <w:rsid w:val="003814C2"/>
    <w:rsid w:val="0038174E"/>
    <w:rsid w:val="00382C98"/>
    <w:rsid w:val="00383A26"/>
    <w:rsid w:val="00391BF4"/>
    <w:rsid w:val="00393EFC"/>
    <w:rsid w:val="00394615"/>
    <w:rsid w:val="00394A82"/>
    <w:rsid w:val="00395BE3"/>
    <w:rsid w:val="003A043D"/>
    <w:rsid w:val="003A1F05"/>
    <w:rsid w:val="003A5E36"/>
    <w:rsid w:val="003A7EBB"/>
    <w:rsid w:val="003A7FCA"/>
    <w:rsid w:val="003B3E0B"/>
    <w:rsid w:val="003B728E"/>
    <w:rsid w:val="003B72C7"/>
    <w:rsid w:val="003C064F"/>
    <w:rsid w:val="003C16CC"/>
    <w:rsid w:val="003C7208"/>
    <w:rsid w:val="003C765D"/>
    <w:rsid w:val="003D0A75"/>
    <w:rsid w:val="003D3C0A"/>
    <w:rsid w:val="003D488B"/>
    <w:rsid w:val="003D4EA7"/>
    <w:rsid w:val="003D6549"/>
    <w:rsid w:val="003D7D1D"/>
    <w:rsid w:val="003D7E20"/>
    <w:rsid w:val="003E1C8A"/>
    <w:rsid w:val="003F021C"/>
    <w:rsid w:val="003F17D9"/>
    <w:rsid w:val="003F2F74"/>
    <w:rsid w:val="003F672D"/>
    <w:rsid w:val="00402A31"/>
    <w:rsid w:val="00406457"/>
    <w:rsid w:val="00410B68"/>
    <w:rsid w:val="004120DB"/>
    <w:rsid w:val="004141A8"/>
    <w:rsid w:val="00417EC2"/>
    <w:rsid w:val="00422E26"/>
    <w:rsid w:val="00426B5A"/>
    <w:rsid w:val="00431645"/>
    <w:rsid w:val="00431A45"/>
    <w:rsid w:val="00432AAC"/>
    <w:rsid w:val="00433298"/>
    <w:rsid w:val="00436540"/>
    <w:rsid w:val="00445AAF"/>
    <w:rsid w:val="00446D6C"/>
    <w:rsid w:val="00447C6A"/>
    <w:rsid w:val="00451495"/>
    <w:rsid w:val="00452AE2"/>
    <w:rsid w:val="00453DC4"/>
    <w:rsid w:val="004549C1"/>
    <w:rsid w:val="0045785C"/>
    <w:rsid w:val="0045790C"/>
    <w:rsid w:val="004648F0"/>
    <w:rsid w:val="00471EB8"/>
    <w:rsid w:val="004767EB"/>
    <w:rsid w:val="004803B1"/>
    <w:rsid w:val="0048154F"/>
    <w:rsid w:val="00484A06"/>
    <w:rsid w:val="004855F4"/>
    <w:rsid w:val="0049140C"/>
    <w:rsid w:val="00493081"/>
    <w:rsid w:val="004956A1"/>
    <w:rsid w:val="004A021D"/>
    <w:rsid w:val="004B1255"/>
    <w:rsid w:val="004B184F"/>
    <w:rsid w:val="004B381C"/>
    <w:rsid w:val="004B70C2"/>
    <w:rsid w:val="004B75F9"/>
    <w:rsid w:val="004B7C50"/>
    <w:rsid w:val="004C2057"/>
    <w:rsid w:val="004C336D"/>
    <w:rsid w:val="004C5E69"/>
    <w:rsid w:val="004C7ED0"/>
    <w:rsid w:val="004D2FF2"/>
    <w:rsid w:val="004E2D27"/>
    <w:rsid w:val="004E4ED1"/>
    <w:rsid w:val="004E5B36"/>
    <w:rsid w:val="004E5B77"/>
    <w:rsid w:val="004F15D7"/>
    <w:rsid w:val="005017BA"/>
    <w:rsid w:val="00501F65"/>
    <w:rsid w:val="00502B08"/>
    <w:rsid w:val="00504FBF"/>
    <w:rsid w:val="005149A6"/>
    <w:rsid w:val="00516606"/>
    <w:rsid w:val="00516B1C"/>
    <w:rsid w:val="00516C92"/>
    <w:rsid w:val="00517C81"/>
    <w:rsid w:val="00525717"/>
    <w:rsid w:val="005327D0"/>
    <w:rsid w:val="0053287F"/>
    <w:rsid w:val="00535E14"/>
    <w:rsid w:val="00536FE4"/>
    <w:rsid w:val="005408BD"/>
    <w:rsid w:val="0054315B"/>
    <w:rsid w:val="00545AA3"/>
    <w:rsid w:val="00547758"/>
    <w:rsid w:val="00547E41"/>
    <w:rsid w:val="0055079D"/>
    <w:rsid w:val="00553E55"/>
    <w:rsid w:val="00555AA3"/>
    <w:rsid w:val="00557544"/>
    <w:rsid w:val="00557A04"/>
    <w:rsid w:val="00560D90"/>
    <w:rsid w:val="005666BA"/>
    <w:rsid w:val="00566CD3"/>
    <w:rsid w:val="00567106"/>
    <w:rsid w:val="005707B4"/>
    <w:rsid w:val="00570DD6"/>
    <w:rsid w:val="00572B2F"/>
    <w:rsid w:val="00572D84"/>
    <w:rsid w:val="0058014E"/>
    <w:rsid w:val="005817E2"/>
    <w:rsid w:val="00587B94"/>
    <w:rsid w:val="00590344"/>
    <w:rsid w:val="005911EF"/>
    <w:rsid w:val="00592AF4"/>
    <w:rsid w:val="0059399B"/>
    <w:rsid w:val="005977DE"/>
    <w:rsid w:val="005A2138"/>
    <w:rsid w:val="005A58BC"/>
    <w:rsid w:val="005A5972"/>
    <w:rsid w:val="005A634D"/>
    <w:rsid w:val="005A6862"/>
    <w:rsid w:val="005A7360"/>
    <w:rsid w:val="005A7A5C"/>
    <w:rsid w:val="005A7A66"/>
    <w:rsid w:val="005B06C3"/>
    <w:rsid w:val="005B2399"/>
    <w:rsid w:val="005B4278"/>
    <w:rsid w:val="005B7460"/>
    <w:rsid w:val="005C1FCA"/>
    <w:rsid w:val="005C3CCF"/>
    <w:rsid w:val="005C5C1A"/>
    <w:rsid w:val="005C6DD0"/>
    <w:rsid w:val="005D0104"/>
    <w:rsid w:val="005D1816"/>
    <w:rsid w:val="005D2261"/>
    <w:rsid w:val="005E1B12"/>
    <w:rsid w:val="005E1CC4"/>
    <w:rsid w:val="005E21AD"/>
    <w:rsid w:val="005E250B"/>
    <w:rsid w:val="005E2C25"/>
    <w:rsid w:val="005E58AF"/>
    <w:rsid w:val="005E7182"/>
    <w:rsid w:val="005F18B2"/>
    <w:rsid w:val="005F2954"/>
    <w:rsid w:val="005F2C60"/>
    <w:rsid w:val="005F3303"/>
    <w:rsid w:val="005F5A52"/>
    <w:rsid w:val="005F6C23"/>
    <w:rsid w:val="00600B3D"/>
    <w:rsid w:val="006017B0"/>
    <w:rsid w:val="006023B4"/>
    <w:rsid w:val="00603FC2"/>
    <w:rsid w:val="006061FD"/>
    <w:rsid w:val="00607964"/>
    <w:rsid w:val="00607B88"/>
    <w:rsid w:val="0061169F"/>
    <w:rsid w:val="00611BFC"/>
    <w:rsid w:val="0061382B"/>
    <w:rsid w:val="00613ACF"/>
    <w:rsid w:val="00623577"/>
    <w:rsid w:val="00625224"/>
    <w:rsid w:val="00626252"/>
    <w:rsid w:val="0062751E"/>
    <w:rsid w:val="00630298"/>
    <w:rsid w:val="00632223"/>
    <w:rsid w:val="00636285"/>
    <w:rsid w:val="006454CD"/>
    <w:rsid w:val="00646DD6"/>
    <w:rsid w:val="006505F6"/>
    <w:rsid w:val="006512A9"/>
    <w:rsid w:val="006602B2"/>
    <w:rsid w:val="00663BF1"/>
    <w:rsid w:val="00671174"/>
    <w:rsid w:val="006711B8"/>
    <w:rsid w:val="006713D3"/>
    <w:rsid w:val="00671AFD"/>
    <w:rsid w:val="00681756"/>
    <w:rsid w:val="0068219D"/>
    <w:rsid w:val="006850E3"/>
    <w:rsid w:val="0068779C"/>
    <w:rsid w:val="00691AA6"/>
    <w:rsid w:val="00691CDE"/>
    <w:rsid w:val="006929D7"/>
    <w:rsid w:val="00692A57"/>
    <w:rsid w:val="00694113"/>
    <w:rsid w:val="00696F3F"/>
    <w:rsid w:val="00696FBC"/>
    <w:rsid w:val="006A01E7"/>
    <w:rsid w:val="006B1A8D"/>
    <w:rsid w:val="006B74E6"/>
    <w:rsid w:val="006C34D7"/>
    <w:rsid w:val="006D0AE6"/>
    <w:rsid w:val="006D21DB"/>
    <w:rsid w:val="006D2F37"/>
    <w:rsid w:val="006D33EC"/>
    <w:rsid w:val="006D4751"/>
    <w:rsid w:val="006E51DB"/>
    <w:rsid w:val="006E5965"/>
    <w:rsid w:val="006E6674"/>
    <w:rsid w:val="006F02BC"/>
    <w:rsid w:val="006F0CC9"/>
    <w:rsid w:val="00704CBD"/>
    <w:rsid w:val="007056D0"/>
    <w:rsid w:val="00705D54"/>
    <w:rsid w:val="00710538"/>
    <w:rsid w:val="00712EE9"/>
    <w:rsid w:val="00713FBD"/>
    <w:rsid w:val="007148F7"/>
    <w:rsid w:val="0072292C"/>
    <w:rsid w:val="00723096"/>
    <w:rsid w:val="00724F5C"/>
    <w:rsid w:val="00731C0C"/>
    <w:rsid w:val="007341A6"/>
    <w:rsid w:val="00734278"/>
    <w:rsid w:val="007360CB"/>
    <w:rsid w:val="00737234"/>
    <w:rsid w:val="0074120D"/>
    <w:rsid w:val="00741A3B"/>
    <w:rsid w:val="00744228"/>
    <w:rsid w:val="0074553D"/>
    <w:rsid w:val="007466D8"/>
    <w:rsid w:val="00746B57"/>
    <w:rsid w:val="00746C7D"/>
    <w:rsid w:val="00747A7A"/>
    <w:rsid w:val="00747E9F"/>
    <w:rsid w:val="00750F3C"/>
    <w:rsid w:val="00754AFC"/>
    <w:rsid w:val="007550A2"/>
    <w:rsid w:val="007735E8"/>
    <w:rsid w:val="00785D7C"/>
    <w:rsid w:val="007869AF"/>
    <w:rsid w:val="00792897"/>
    <w:rsid w:val="007932BA"/>
    <w:rsid w:val="00793FC7"/>
    <w:rsid w:val="00794E57"/>
    <w:rsid w:val="00797588"/>
    <w:rsid w:val="007A09A2"/>
    <w:rsid w:val="007A1A96"/>
    <w:rsid w:val="007A2940"/>
    <w:rsid w:val="007A6CC7"/>
    <w:rsid w:val="007B15C8"/>
    <w:rsid w:val="007B5860"/>
    <w:rsid w:val="007C0E76"/>
    <w:rsid w:val="007C0EC0"/>
    <w:rsid w:val="007C1CCC"/>
    <w:rsid w:val="007C47D8"/>
    <w:rsid w:val="007C676B"/>
    <w:rsid w:val="007D6A2E"/>
    <w:rsid w:val="007D6EDD"/>
    <w:rsid w:val="007E00EF"/>
    <w:rsid w:val="007E0BDC"/>
    <w:rsid w:val="007F0A3F"/>
    <w:rsid w:val="007F2545"/>
    <w:rsid w:val="007F32BF"/>
    <w:rsid w:val="00802E9C"/>
    <w:rsid w:val="00803D6B"/>
    <w:rsid w:val="00812329"/>
    <w:rsid w:val="008144E8"/>
    <w:rsid w:val="00814CD8"/>
    <w:rsid w:val="0081561B"/>
    <w:rsid w:val="00815B4A"/>
    <w:rsid w:val="00815CF1"/>
    <w:rsid w:val="00821C38"/>
    <w:rsid w:val="00830443"/>
    <w:rsid w:val="00840286"/>
    <w:rsid w:val="008424B1"/>
    <w:rsid w:val="00852F01"/>
    <w:rsid w:val="00854582"/>
    <w:rsid w:val="00854EAC"/>
    <w:rsid w:val="00855A20"/>
    <w:rsid w:val="00856D7A"/>
    <w:rsid w:val="008703D4"/>
    <w:rsid w:val="00870B34"/>
    <w:rsid w:val="00876BEB"/>
    <w:rsid w:val="008811EE"/>
    <w:rsid w:val="00881B97"/>
    <w:rsid w:val="0089033B"/>
    <w:rsid w:val="008908AA"/>
    <w:rsid w:val="0089298C"/>
    <w:rsid w:val="0089315D"/>
    <w:rsid w:val="00896D42"/>
    <w:rsid w:val="008A44A4"/>
    <w:rsid w:val="008A6753"/>
    <w:rsid w:val="008B0B00"/>
    <w:rsid w:val="008B259A"/>
    <w:rsid w:val="008B3563"/>
    <w:rsid w:val="008B5DF2"/>
    <w:rsid w:val="008B6A99"/>
    <w:rsid w:val="008B6D61"/>
    <w:rsid w:val="008C4244"/>
    <w:rsid w:val="008C5541"/>
    <w:rsid w:val="008C6A7B"/>
    <w:rsid w:val="008C72B5"/>
    <w:rsid w:val="008C7916"/>
    <w:rsid w:val="008D16D9"/>
    <w:rsid w:val="008D203A"/>
    <w:rsid w:val="008D4A45"/>
    <w:rsid w:val="008D5C05"/>
    <w:rsid w:val="008D722B"/>
    <w:rsid w:val="008E1950"/>
    <w:rsid w:val="008E425A"/>
    <w:rsid w:val="008E4728"/>
    <w:rsid w:val="008E51D3"/>
    <w:rsid w:val="008E64A6"/>
    <w:rsid w:val="008E7DB2"/>
    <w:rsid w:val="008F1CC2"/>
    <w:rsid w:val="0090025C"/>
    <w:rsid w:val="00902755"/>
    <w:rsid w:val="009040C7"/>
    <w:rsid w:val="009118F8"/>
    <w:rsid w:val="00912C7E"/>
    <w:rsid w:val="00915C0F"/>
    <w:rsid w:val="009178F8"/>
    <w:rsid w:val="009210FA"/>
    <w:rsid w:val="00921815"/>
    <w:rsid w:val="009231F6"/>
    <w:rsid w:val="0092549C"/>
    <w:rsid w:val="00926FED"/>
    <w:rsid w:val="00930888"/>
    <w:rsid w:val="0093425E"/>
    <w:rsid w:val="00934846"/>
    <w:rsid w:val="00935C96"/>
    <w:rsid w:val="00944F86"/>
    <w:rsid w:val="009479D6"/>
    <w:rsid w:val="00950210"/>
    <w:rsid w:val="00954103"/>
    <w:rsid w:val="00954285"/>
    <w:rsid w:val="009544DF"/>
    <w:rsid w:val="00956CC1"/>
    <w:rsid w:val="00961D5F"/>
    <w:rsid w:val="00966CB0"/>
    <w:rsid w:val="00967501"/>
    <w:rsid w:val="0097284E"/>
    <w:rsid w:val="00973300"/>
    <w:rsid w:val="00975D7C"/>
    <w:rsid w:val="00980978"/>
    <w:rsid w:val="0098124A"/>
    <w:rsid w:val="00982922"/>
    <w:rsid w:val="009854AC"/>
    <w:rsid w:val="00986A91"/>
    <w:rsid w:val="00992D76"/>
    <w:rsid w:val="00993A53"/>
    <w:rsid w:val="009A1017"/>
    <w:rsid w:val="009A5075"/>
    <w:rsid w:val="009B0C9B"/>
    <w:rsid w:val="009B117A"/>
    <w:rsid w:val="009B1D4B"/>
    <w:rsid w:val="009B21CB"/>
    <w:rsid w:val="009B79C7"/>
    <w:rsid w:val="009C005C"/>
    <w:rsid w:val="009C3782"/>
    <w:rsid w:val="009C40ED"/>
    <w:rsid w:val="009C5655"/>
    <w:rsid w:val="009C61DD"/>
    <w:rsid w:val="009C76AA"/>
    <w:rsid w:val="009C77B4"/>
    <w:rsid w:val="009D02E5"/>
    <w:rsid w:val="009D4181"/>
    <w:rsid w:val="009D667F"/>
    <w:rsid w:val="009D7AC0"/>
    <w:rsid w:val="009E2EFF"/>
    <w:rsid w:val="009E5575"/>
    <w:rsid w:val="009E7CC1"/>
    <w:rsid w:val="009F4F6C"/>
    <w:rsid w:val="009F5737"/>
    <w:rsid w:val="009F5C23"/>
    <w:rsid w:val="009F78D2"/>
    <w:rsid w:val="00A015FD"/>
    <w:rsid w:val="00A01662"/>
    <w:rsid w:val="00A01BE2"/>
    <w:rsid w:val="00A02094"/>
    <w:rsid w:val="00A04352"/>
    <w:rsid w:val="00A05B61"/>
    <w:rsid w:val="00A05B89"/>
    <w:rsid w:val="00A158E2"/>
    <w:rsid w:val="00A15E0C"/>
    <w:rsid w:val="00A1639E"/>
    <w:rsid w:val="00A1643D"/>
    <w:rsid w:val="00A2317B"/>
    <w:rsid w:val="00A24184"/>
    <w:rsid w:val="00A2673D"/>
    <w:rsid w:val="00A276C4"/>
    <w:rsid w:val="00A30316"/>
    <w:rsid w:val="00A32D87"/>
    <w:rsid w:val="00A3391E"/>
    <w:rsid w:val="00A342BD"/>
    <w:rsid w:val="00A37440"/>
    <w:rsid w:val="00A44C5E"/>
    <w:rsid w:val="00A46358"/>
    <w:rsid w:val="00A549B6"/>
    <w:rsid w:val="00A55667"/>
    <w:rsid w:val="00A563E3"/>
    <w:rsid w:val="00A5768C"/>
    <w:rsid w:val="00A57AEB"/>
    <w:rsid w:val="00A60A63"/>
    <w:rsid w:val="00A647B3"/>
    <w:rsid w:val="00A66755"/>
    <w:rsid w:val="00A6744F"/>
    <w:rsid w:val="00A67958"/>
    <w:rsid w:val="00A704A1"/>
    <w:rsid w:val="00A735DD"/>
    <w:rsid w:val="00A81ACF"/>
    <w:rsid w:val="00A82A66"/>
    <w:rsid w:val="00A875EF"/>
    <w:rsid w:val="00A87BCC"/>
    <w:rsid w:val="00A87F1B"/>
    <w:rsid w:val="00A90F0B"/>
    <w:rsid w:val="00A92342"/>
    <w:rsid w:val="00A92AD4"/>
    <w:rsid w:val="00A93729"/>
    <w:rsid w:val="00A967B4"/>
    <w:rsid w:val="00A977BC"/>
    <w:rsid w:val="00AA0945"/>
    <w:rsid w:val="00AA35DC"/>
    <w:rsid w:val="00AA5CAB"/>
    <w:rsid w:val="00AB0DFB"/>
    <w:rsid w:val="00AB12CA"/>
    <w:rsid w:val="00AB1808"/>
    <w:rsid w:val="00AB6249"/>
    <w:rsid w:val="00AC17F8"/>
    <w:rsid w:val="00AC4E6A"/>
    <w:rsid w:val="00AD1FB1"/>
    <w:rsid w:val="00AD3BBE"/>
    <w:rsid w:val="00AD5D84"/>
    <w:rsid w:val="00AE0043"/>
    <w:rsid w:val="00AE118C"/>
    <w:rsid w:val="00AE2427"/>
    <w:rsid w:val="00AE4AB9"/>
    <w:rsid w:val="00AE5739"/>
    <w:rsid w:val="00AF103D"/>
    <w:rsid w:val="00AF5518"/>
    <w:rsid w:val="00AF6152"/>
    <w:rsid w:val="00AF7335"/>
    <w:rsid w:val="00AF756B"/>
    <w:rsid w:val="00B01EA6"/>
    <w:rsid w:val="00B03430"/>
    <w:rsid w:val="00B04366"/>
    <w:rsid w:val="00B04F99"/>
    <w:rsid w:val="00B05812"/>
    <w:rsid w:val="00B10BFC"/>
    <w:rsid w:val="00B10E4A"/>
    <w:rsid w:val="00B13F8C"/>
    <w:rsid w:val="00B15F4F"/>
    <w:rsid w:val="00B16623"/>
    <w:rsid w:val="00B17B10"/>
    <w:rsid w:val="00B17F2D"/>
    <w:rsid w:val="00B24D33"/>
    <w:rsid w:val="00B250A9"/>
    <w:rsid w:val="00B26055"/>
    <w:rsid w:val="00B32451"/>
    <w:rsid w:val="00B350F4"/>
    <w:rsid w:val="00B43226"/>
    <w:rsid w:val="00B5219B"/>
    <w:rsid w:val="00B53324"/>
    <w:rsid w:val="00B53337"/>
    <w:rsid w:val="00B54885"/>
    <w:rsid w:val="00B613AF"/>
    <w:rsid w:val="00B6386C"/>
    <w:rsid w:val="00B639EA"/>
    <w:rsid w:val="00B65FDD"/>
    <w:rsid w:val="00B7189D"/>
    <w:rsid w:val="00B81D90"/>
    <w:rsid w:val="00B8222A"/>
    <w:rsid w:val="00B86949"/>
    <w:rsid w:val="00B87AC0"/>
    <w:rsid w:val="00B93E6B"/>
    <w:rsid w:val="00B95348"/>
    <w:rsid w:val="00BA1853"/>
    <w:rsid w:val="00BA75E2"/>
    <w:rsid w:val="00BA7E6D"/>
    <w:rsid w:val="00BB2E83"/>
    <w:rsid w:val="00BB3977"/>
    <w:rsid w:val="00BB3E8F"/>
    <w:rsid w:val="00BB77DF"/>
    <w:rsid w:val="00BC388D"/>
    <w:rsid w:val="00BC6858"/>
    <w:rsid w:val="00BC6AAE"/>
    <w:rsid w:val="00BC7C61"/>
    <w:rsid w:val="00BD166C"/>
    <w:rsid w:val="00BD498F"/>
    <w:rsid w:val="00BD4C5C"/>
    <w:rsid w:val="00BE01D2"/>
    <w:rsid w:val="00BE1729"/>
    <w:rsid w:val="00BE2E26"/>
    <w:rsid w:val="00BE35F3"/>
    <w:rsid w:val="00BE5461"/>
    <w:rsid w:val="00BF1B97"/>
    <w:rsid w:val="00C042AB"/>
    <w:rsid w:val="00C10403"/>
    <w:rsid w:val="00C13255"/>
    <w:rsid w:val="00C157ED"/>
    <w:rsid w:val="00C25D30"/>
    <w:rsid w:val="00C2604B"/>
    <w:rsid w:val="00C27191"/>
    <w:rsid w:val="00C31A80"/>
    <w:rsid w:val="00C32167"/>
    <w:rsid w:val="00C3334D"/>
    <w:rsid w:val="00C346C1"/>
    <w:rsid w:val="00C373F8"/>
    <w:rsid w:val="00C60184"/>
    <w:rsid w:val="00C60AD1"/>
    <w:rsid w:val="00C60FE7"/>
    <w:rsid w:val="00C617CC"/>
    <w:rsid w:val="00C620DB"/>
    <w:rsid w:val="00C638F4"/>
    <w:rsid w:val="00C677CE"/>
    <w:rsid w:val="00C707EC"/>
    <w:rsid w:val="00C71F54"/>
    <w:rsid w:val="00C73444"/>
    <w:rsid w:val="00C7530D"/>
    <w:rsid w:val="00C840F8"/>
    <w:rsid w:val="00C86D18"/>
    <w:rsid w:val="00C879CE"/>
    <w:rsid w:val="00C90340"/>
    <w:rsid w:val="00C931BA"/>
    <w:rsid w:val="00C9556F"/>
    <w:rsid w:val="00C9650B"/>
    <w:rsid w:val="00CB1A57"/>
    <w:rsid w:val="00CB4F60"/>
    <w:rsid w:val="00CB7B5B"/>
    <w:rsid w:val="00CC4F13"/>
    <w:rsid w:val="00CC590C"/>
    <w:rsid w:val="00CC60B8"/>
    <w:rsid w:val="00CC77C3"/>
    <w:rsid w:val="00CC7F9E"/>
    <w:rsid w:val="00CD1943"/>
    <w:rsid w:val="00CD4031"/>
    <w:rsid w:val="00CE0E99"/>
    <w:rsid w:val="00CE2886"/>
    <w:rsid w:val="00CE3EB2"/>
    <w:rsid w:val="00CE446E"/>
    <w:rsid w:val="00CE4890"/>
    <w:rsid w:val="00CE6D42"/>
    <w:rsid w:val="00CF1C65"/>
    <w:rsid w:val="00CF43EA"/>
    <w:rsid w:val="00D0369F"/>
    <w:rsid w:val="00D06484"/>
    <w:rsid w:val="00D07FE5"/>
    <w:rsid w:val="00D10E7E"/>
    <w:rsid w:val="00D11DAE"/>
    <w:rsid w:val="00D14DAF"/>
    <w:rsid w:val="00D17847"/>
    <w:rsid w:val="00D17C21"/>
    <w:rsid w:val="00D21D53"/>
    <w:rsid w:val="00D273B1"/>
    <w:rsid w:val="00D27445"/>
    <w:rsid w:val="00D27673"/>
    <w:rsid w:val="00D33BF0"/>
    <w:rsid w:val="00D33FFB"/>
    <w:rsid w:val="00D3471C"/>
    <w:rsid w:val="00D374DA"/>
    <w:rsid w:val="00D37BDE"/>
    <w:rsid w:val="00D40EE8"/>
    <w:rsid w:val="00D40F89"/>
    <w:rsid w:val="00D4217B"/>
    <w:rsid w:val="00D455E2"/>
    <w:rsid w:val="00D47643"/>
    <w:rsid w:val="00D562DF"/>
    <w:rsid w:val="00D60C18"/>
    <w:rsid w:val="00D658B2"/>
    <w:rsid w:val="00D71BC3"/>
    <w:rsid w:val="00D72D92"/>
    <w:rsid w:val="00D736BE"/>
    <w:rsid w:val="00D74973"/>
    <w:rsid w:val="00D75C80"/>
    <w:rsid w:val="00D75D02"/>
    <w:rsid w:val="00D75D12"/>
    <w:rsid w:val="00D8059C"/>
    <w:rsid w:val="00D83026"/>
    <w:rsid w:val="00D837F3"/>
    <w:rsid w:val="00D842FD"/>
    <w:rsid w:val="00D867AF"/>
    <w:rsid w:val="00D86B86"/>
    <w:rsid w:val="00DA2DB7"/>
    <w:rsid w:val="00DA6D02"/>
    <w:rsid w:val="00DA7EA2"/>
    <w:rsid w:val="00DB4E8D"/>
    <w:rsid w:val="00DB7292"/>
    <w:rsid w:val="00DC04C4"/>
    <w:rsid w:val="00DC7945"/>
    <w:rsid w:val="00DD07F2"/>
    <w:rsid w:val="00DD123A"/>
    <w:rsid w:val="00DE0A9C"/>
    <w:rsid w:val="00DE1AD5"/>
    <w:rsid w:val="00DE1B9B"/>
    <w:rsid w:val="00DE2C9C"/>
    <w:rsid w:val="00DE44A1"/>
    <w:rsid w:val="00DE7C03"/>
    <w:rsid w:val="00DF09CB"/>
    <w:rsid w:val="00DF2827"/>
    <w:rsid w:val="00DF7072"/>
    <w:rsid w:val="00E00E70"/>
    <w:rsid w:val="00E019E8"/>
    <w:rsid w:val="00E066E0"/>
    <w:rsid w:val="00E11022"/>
    <w:rsid w:val="00E12401"/>
    <w:rsid w:val="00E14356"/>
    <w:rsid w:val="00E16D96"/>
    <w:rsid w:val="00E17FD8"/>
    <w:rsid w:val="00E30075"/>
    <w:rsid w:val="00E30746"/>
    <w:rsid w:val="00E31797"/>
    <w:rsid w:val="00E3451B"/>
    <w:rsid w:val="00E41699"/>
    <w:rsid w:val="00E478A7"/>
    <w:rsid w:val="00E50A9D"/>
    <w:rsid w:val="00E5339F"/>
    <w:rsid w:val="00E54309"/>
    <w:rsid w:val="00E55BB9"/>
    <w:rsid w:val="00E603C8"/>
    <w:rsid w:val="00E611A2"/>
    <w:rsid w:val="00E620F9"/>
    <w:rsid w:val="00E632C0"/>
    <w:rsid w:val="00E66A0F"/>
    <w:rsid w:val="00E67D16"/>
    <w:rsid w:val="00E70D17"/>
    <w:rsid w:val="00E71152"/>
    <w:rsid w:val="00E75D9A"/>
    <w:rsid w:val="00E778A7"/>
    <w:rsid w:val="00E77E56"/>
    <w:rsid w:val="00E801A9"/>
    <w:rsid w:val="00E816AE"/>
    <w:rsid w:val="00E82AA7"/>
    <w:rsid w:val="00E8388A"/>
    <w:rsid w:val="00E854B4"/>
    <w:rsid w:val="00E92062"/>
    <w:rsid w:val="00E921D6"/>
    <w:rsid w:val="00E9292E"/>
    <w:rsid w:val="00E92BD9"/>
    <w:rsid w:val="00E96617"/>
    <w:rsid w:val="00EA01DD"/>
    <w:rsid w:val="00EA1EDD"/>
    <w:rsid w:val="00EA40CD"/>
    <w:rsid w:val="00EA66AA"/>
    <w:rsid w:val="00EA68F5"/>
    <w:rsid w:val="00EB25DC"/>
    <w:rsid w:val="00EB3FEB"/>
    <w:rsid w:val="00EB75B1"/>
    <w:rsid w:val="00EB786D"/>
    <w:rsid w:val="00EC0371"/>
    <w:rsid w:val="00EC0FB4"/>
    <w:rsid w:val="00EC49E2"/>
    <w:rsid w:val="00EC5C59"/>
    <w:rsid w:val="00EC6DAF"/>
    <w:rsid w:val="00EC712A"/>
    <w:rsid w:val="00ED0B6B"/>
    <w:rsid w:val="00ED0C97"/>
    <w:rsid w:val="00ED4998"/>
    <w:rsid w:val="00ED4B80"/>
    <w:rsid w:val="00EE01E7"/>
    <w:rsid w:val="00EE3105"/>
    <w:rsid w:val="00EE4107"/>
    <w:rsid w:val="00EE57B3"/>
    <w:rsid w:val="00EE7458"/>
    <w:rsid w:val="00EF09B5"/>
    <w:rsid w:val="00EF3AB4"/>
    <w:rsid w:val="00EF3E9C"/>
    <w:rsid w:val="00EF4166"/>
    <w:rsid w:val="00EF474D"/>
    <w:rsid w:val="00EF4A53"/>
    <w:rsid w:val="00EF54E4"/>
    <w:rsid w:val="00EF57D9"/>
    <w:rsid w:val="00EF64F0"/>
    <w:rsid w:val="00F16898"/>
    <w:rsid w:val="00F172BD"/>
    <w:rsid w:val="00F17E67"/>
    <w:rsid w:val="00F22ABC"/>
    <w:rsid w:val="00F316D8"/>
    <w:rsid w:val="00F407F6"/>
    <w:rsid w:val="00F41045"/>
    <w:rsid w:val="00F42866"/>
    <w:rsid w:val="00F44347"/>
    <w:rsid w:val="00F4565A"/>
    <w:rsid w:val="00F569DF"/>
    <w:rsid w:val="00F601BD"/>
    <w:rsid w:val="00F62A66"/>
    <w:rsid w:val="00F6464A"/>
    <w:rsid w:val="00F66EC3"/>
    <w:rsid w:val="00F67A51"/>
    <w:rsid w:val="00F70D3F"/>
    <w:rsid w:val="00F737AF"/>
    <w:rsid w:val="00F848B5"/>
    <w:rsid w:val="00F85465"/>
    <w:rsid w:val="00F90061"/>
    <w:rsid w:val="00F91124"/>
    <w:rsid w:val="00F925EE"/>
    <w:rsid w:val="00FA52F5"/>
    <w:rsid w:val="00FB234D"/>
    <w:rsid w:val="00FB3134"/>
    <w:rsid w:val="00FB43B8"/>
    <w:rsid w:val="00FB7FE3"/>
    <w:rsid w:val="00FC1C55"/>
    <w:rsid w:val="00FC26AD"/>
    <w:rsid w:val="00FC3DAB"/>
    <w:rsid w:val="00FC643B"/>
    <w:rsid w:val="00FC7258"/>
    <w:rsid w:val="00FD5B88"/>
    <w:rsid w:val="00FE093E"/>
    <w:rsid w:val="00FE3721"/>
    <w:rsid w:val="00FE6738"/>
    <w:rsid w:val="00FF1051"/>
    <w:rsid w:val="00FF33E0"/>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531A284"/>
  <w15:docId w15:val="{4AFB5B13-FC24-4AD4-A795-B3B77CA3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4A1"/>
    <w:rPr>
      <w:sz w:val="24"/>
      <w:szCs w:val="24"/>
    </w:rPr>
  </w:style>
  <w:style w:type="paragraph" w:styleId="Heading1">
    <w:name w:val="heading 1"/>
    <w:basedOn w:val="Normal"/>
    <w:next w:val="Normal"/>
    <w:autoRedefine/>
    <w:qFormat/>
    <w:rsid w:val="007C0EC0"/>
    <w:pPr>
      <w:keepNext/>
      <w:numPr>
        <w:numId w:val="22"/>
      </w:numPr>
      <w:spacing w:after="240"/>
      <w:ind w:hanging="720"/>
      <w:outlineLvl w:val="0"/>
    </w:pPr>
    <w:rPr>
      <w:rFonts w:ascii="Arial" w:hAnsi="Arial" w:cs="Arial"/>
      <w:b/>
      <w:bCs/>
      <w:kern w:val="32"/>
      <w:szCs w:val="32"/>
      <w:u w:val="single"/>
    </w:rPr>
  </w:style>
  <w:style w:type="paragraph" w:styleId="Heading2">
    <w:name w:val="heading 2"/>
    <w:basedOn w:val="Normal"/>
    <w:next w:val="Normal"/>
    <w:link w:val="Heading2Char"/>
    <w:unhideWhenUsed/>
    <w:qFormat/>
    <w:rsid w:val="003D488B"/>
    <w:pPr>
      <w:keepNext/>
      <w:keepLines/>
      <w:numPr>
        <w:numId w:val="23"/>
      </w:numPr>
      <w:spacing w:after="240"/>
      <w:ind w:left="1440" w:hanging="720"/>
      <w:outlineLvl w:val="1"/>
    </w:pPr>
    <w:rPr>
      <w:rFonts w:ascii="Arial" w:eastAsiaTheme="majorEastAsia" w:hAnsi="Arial" w:cstheme="majorBidi"/>
      <w:bCs/>
      <w:sz w:val="26"/>
      <w:szCs w:val="26"/>
      <w:u w:val="single"/>
    </w:rPr>
  </w:style>
  <w:style w:type="paragraph" w:styleId="Heading3">
    <w:name w:val="heading 3"/>
    <w:basedOn w:val="Normal"/>
    <w:next w:val="Normal"/>
    <w:link w:val="Heading3Char"/>
    <w:semiHidden/>
    <w:unhideWhenUsed/>
    <w:qFormat/>
    <w:rsid w:val="003D48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AC0"/>
    <w:pPr>
      <w:tabs>
        <w:tab w:val="center" w:pos="4320"/>
        <w:tab w:val="right" w:pos="8640"/>
      </w:tabs>
    </w:pPr>
  </w:style>
  <w:style w:type="paragraph" w:styleId="Footer">
    <w:name w:val="footer"/>
    <w:basedOn w:val="Normal"/>
    <w:link w:val="FooterChar"/>
    <w:uiPriority w:val="99"/>
    <w:rsid w:val="009D7AC0"/>
    <w:pPr>
      <w:tabs>
        <w:tab w:val="center" w:pos="4320"/>
        <w:tab w:val="right" w:pos="8640"/>
      </w:tabs>
    </w:pPr>
  </w:style>
  <w:style w:type="character" w:styleId="Hyperlink">
    <w:name w:val="Hyperlink"/>
    <w:uiPriority w:val="99"/>
    <w:rsid w:val="009D7AC0"/>
    <w:rPr>
      <w:color w:val="0000FF"/>
      <w:u w:val="single"/>
    </w:rPr>
  </w:style>
  <w:style w:type="table" w:styleId="TableGrid">
    <w:name w:val="Table Grid"/>
    <w:basedOn w:val="TableNormal"/>
    <w:rsid w:val="00A7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BB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74973"/>
    <w:rPr>
      <w:rFonts w:ascii="Tahoma" w:hAnsi="Tahoma" w:cs="Tahoma"/>
      <w:sz w:val="16"/>
      <w:szCs w:val="16"/>
    </w:rPr>
  </w:style>
  <w:style w:type="character" w:customStyle="1" w:styleId="BalloonTextChar">
    <w:name w:val="Balloon Text Char"/>
    <w:basedOn w:val="DefaultParagraphFont"/>
    <w:link w:val="BalloonText"/>
    <w:rsid w:val="00D74973"/>
    <w:rPr>
      <w:rFonts w:ascii="Tahoma" w:hAnsi="Tahoma" w:cs="Tahoma"/>
      <w:sz w:val="16"/>
      <w:szCs w:val="16"/>
    </w:rPr>
  </w:style>
  <w:style w:type="paragraph" w:styleId="FootnoteText">
    <w:name w:val="footnote text"/>
    <w:basedOn w:val="Normal"/>
    <w:link w:val="FootnoteTextChar"/>
    <w:uiPriority w:val="99"/>
    <w:rsid w:val="007F0A3F"/>
    <w:pPr>
      <w:spacing w:after="120"/>
    </w:pPr>
    <w:rPr>
      <w:rFonts w:ascii="Arial" w:hAnsi="Arial"/>
      <w:szCs w:val="20"/>
    </w:rPr>
  </w:style>
  <w:style w:type="character" w:customStyle="1" w:styleId="FootnoteTextChar">
    <w:name w:val="Footnote Text Char"/>
    <w:basedOn w:val="DefaultParagraphFont"/>
    <w:link w:val="FootnoteText"/>
    <w:uiPriority w:val="99"/>
    <w:rsid w:val="007F0A3F"/>
    <w:rPr>
      <w:rFonts w:ascii="Arial" w:hAnsi="Arial"/>
      <w:sz w:val="24"/>
    </w:rPr>
  </w:style>
  <w:style w:type="character" w:styleId="FootnoteReference">
    <w:name w:val="footnote reference"/>
    <w:rsid w:val="00D74973"/>
    <w:rPr>
      <w:vertAlign w:val="superscript"/>
    </w:rPr>
  </w:style>
  <w:style w:type="paragraph" w:customStyle="1" w:styleId="Body1">
    <w:name w:val="Body 1"/>
    <w:rsid w:val="00D74973"/>
    <w:pPr>
      <w:outlineLvl w:val="0"/>
    </w:pPr>
    <w:rPr>
      <w:rFonts w:eastAsia="ヒラギノ角ゴ Pro W3"/>
      <w:color w:val="000000"/>
      <w:sz w:val="24"/>
    </w:rPr>
  </w:style>
  <w:style w:type="character" w:customStyle="1" w:styleId="FooterChar">
    <w:name w:val="Footer Char"/>
    <w:basedOn w:val="DefaultParagraphFont"/>
    <w:link w:val="Footer"/>
    <w:uiPriority w:val="99"/>
    <w:rsid w:val="00197AE7"/>
    <w:rPr>
      <w:sz w:val="24"/>
      <w:szCs w:val="24"/>
    </w:rPr>
  </w:style>
  <w:style w:type="paragraph" w:styleId="BodyText">
    <w:name w:val="Body Text"/>
    <w:basedOn w:val="Normal"/>
    <w:link w:val="BodyTextChar"/>
    <w:qFormat/>
    <w:rsid w:val="003D488B"/>
    <w:pPr>
      <w:spacing w:after="240"/>
      <w:ind w:firstLine="720"/>
    </w:pPr>
    <w:rPr>
      <w:rFonts w:ascii="Arial" w:hAnsi="Arial"/>
      <w:szCs w:val="22"/>
      <w:lang w:val="de-DE" w:eastAsia="x-none"/>
    </w:rPr>
  </w:style>
  <w:style w:type="character" w:customStyle="1" w:styleId="BodyTextChar">
    <w:name w:val="Body Text Char"/>
    <w:basedOn w:val="DefaultParagraphFont"/>
    <w:link w:val="BodyText"/>
    <w:rsid w:val="003D488B"/>
    <w:rPr>
      <w:rFonts w:ascii="Arial" w:hAnsi="Arial"/>
      <w:sz w:val="24"/>
      <w:szCs w:val="22"/>
      <w:lang w:val="de-DE" w:eastAsia="x-none"/>
    </w:rPr>
  </w:style>
  <w:style w:type="paragraph" w:styleId="PlainText">
    <w:name w:val="Plain Text"/>
    <w:basedOn w:val="Normal"/>
    <w:link w:val="PlainTextChar"/>
    <w:uiPriority w:val="99"/>
    <w:semiHidden/>
    <w:unhideWhenUsed/>
    <w:rsid w:val="002518C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518C7"/>
    <w:rPr>
      <w:rFonts w:ascii="Calibri" w:eastAsiaTheme="minorHAnsi" w:hAnsi="Calibri" w:cs="Consolas"/>
      <w:sz w:val="22"/>
      <w:szCs w:val="21"/>
    </w:rPr>
  </w:style>
  <w:style w:type="paragraph" w:customStyle="1" w:styleId="MemoSignature">
    <w:name w:val="Memo Signature"/>
    <w:basedOn w:val="Normal"/>
    <w:rsid w:val="00600B3D"/>
    <w:pPr>
      <w:keepNext/>
      <w:keepLines/>
      <w:ind w:left="4680"/>
    </w:pPr>
    <w:rPr>
      <w:szCs w:val="20"/>
    </w:rPr>
  </w:style>
  <w:style w:type="paragraph" w:styleId="ListNumber">
    <w:name w:val="List Number"/>
    <w:basedOn w:val="Normal"/>
    <w:uiPriority w:val="99"/>
    <w:unhideWhenUsed/>
    <w:rsid w:val="00600B3D"/>
    <w:pPr>
      <w:keepNext/>
      <w:numPr>
        <w:numId w:val="21"/>
      </w:numPr>
      <w:spacing w:after="240"/>
      <w:ind w:left="720" w:hanging="720"/>
    </w:pPr>
    <w:rPr>
      <w:rFonts w:ascii="Arial" w:hAnsi="Arial"/>
      <w:b/>
      <w:szCs w:val="20"/>
      <w:u w:val="single"/>
    </w:rPr>
  </w:style>
  <w:style w:type="character" w:customStyle="1" w:styleId="pagesnum">
    <w:name w:val="pagesnum"/>
    <w:basedOn w:val="DefaultParagraphFont"/>
    <w:rsid w:val="00600B3D"/>
  </w:style>
  <w:style w:type="character" w:customStyle="1" w:styleId="Heading3Char">
    <w:name w:val="Heading 3 Char"/>
    <w:basedOn w:val="DefaultParagraphFont"/>
    <w:link w:val="Heading3"/>
    <w:semiHidden/>
    <w:rsid w:val="003D488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3D488B"/>
    <w:rPr>
      <w:rFonts w:ascii="Arial" w:eastAsiaTheme="majorEastAsia" w:hAnsi="Arial" w:cstheme="majorBidi"/>
      <w:bCs/>
      <w:sz w:val="26"/>
      <w:szCs w:val="26"/>
      <w:u w:val="single"/>
    </w:rPr>
  </w:style>
  <w:style w:type="character" w:styleId="Emphasis">
    <w:name w:val="Emphasis"/>
    <w:basedOn w:val="DefaultParagraphFont"/>
    <w:qFormat/>
    <w:rsid w:val="008B2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1266">
      <w:bodyDiv w:val="1"/>
      <w:marLeft w:val="0"/>
      <w:marRight w:val="0"/>
      <w:marTop w:val="0"/>
      <w:marBottom w:val="0"/>
      <w:divBdr>
        <w:top w:val="none" w:sz="0" w:space="0" w:color="auto"/>
        <w:left w:val="none" w:sz="0" w:space="0" w:color="auto"/>
        <w:bottom w:val="none" w:sz="0" w:space="0" w:color="auto"/>
        <w:right w:val="none" w:sz="0" w:space="0" w:color="auto"/>
      </w:divBdr>
    </w:div>
    <w:div w:id="1459567276">
      <w:bodyDiv w:val="1"/>
      <w:marLeft w:val="0"/>
      <w:marRight w:val="0"/>
      <w:marTop w:val="0"/>
      <w:marBottom w:val="0"/>
      <w:divBdr>
        <w:top w:val="none" w:sz="0" w:space="0" w:color="auto"/>
        <w:left w:val="none" w:sz="0" w:space="0" w:color="auto"/>
        <w:bottom w:val="none" w:sz="0" w:space="0" w:color="auto"/>
        <w:right w:val="none" w:sz="0" w:space="0" w:color="auto"/>
      </w:divBdr>
    </w:div>
    <w:div w:id="1600522042">
      <w:bodyDiv w:val="1"/>
      <w:marLeft w:val="0"/>
      <w:marRight w:val="0"/>
      <w:marTop w:val="0"/>
      <w:marBottom w:val="0"/>
      <w:divBdr>
        <w:top w:val="none" w:sz="0" w:space="0" w:color="auto"/>
        <w:left w:val="none" w:sz="0" w:space="0" w:color="auto"/>
        <w:bottom w:val="none" w:sz="0" w:space="0" w:color="auto"/>
        <w:right w:val="none" w:sz="0" w:space="0" w:color="auto"/>
      </w:divBdr>
    </w:div>
    <w:div w:id="1806314961">
      <w:bodyDiv w:val="1"/>
      <w:marLeft w:val="0"/>
      <w:marRight w:val="0"/>
      <w:marTop w:val="0"/>
      <w:marBottom w:val="0"/>
      <w:divBdr>
        <w:top w:val="none" w:sz="0" w:space="0" w:color="auto"/>
        <w:left w:val="none" w:sz="0" w:space="0" w:color="auto"/>
        <w:bottom w:val="none" w:sz="0" w:space="0" w:color="auto"/>
        <w:right w:val="none" w:sz="0" w:space="0" w:color="auto"/>
      </w:divBdr>
    </w:div>
    <w:div w:id="20520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C3BC-C010-4468-9427-1BCCCDC0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Murray, Chip</cp:lastModifiedBy>
  <cp:revision>7</cp:revision>
  <dcterms:created xsi:type="dcterms:W3CDTF">1900-01-01T05:00:00Z</dcterms:created>
  <dcterms:modified xsi:type="dcterms:W3CDTF">2018-08-14T14:45:00Z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