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22" w:rsidRDefault="00822522" w:rsidP="00822522">
      <w:pPr>
        <w:spacing w:after="150" w:line="450" w:lineRule="atLeast"/>
        <w:rPr>
          <w:rFonts w:ascii="Open Sans" w:eastAsia="Times New Roman" w:hAnsi="Open Sans" w:cs="Helvetica"/>
          <w:color w:val="333333"/>
          <w:sz w:val="27"/>
          <w:szCs w:val="27"/>
        </w:rPr>
      </w:pPr>
    </w:p>
    <w:p w:rsidR="00465D55" w:rsidRDefault="00822522" w:rsidP="00C863D7">
      <w:pPr>
        <w:spacing w:line="240" w:lineRule="auto"/>
        <w:rPr>
          <w:rFonts w:ascii="Georgia" w:hAnsi="Georgia" w:cs="Arial"/>
          <w:color w:val="212121"/>
          <w:sz w:val="21"/>
          <w:szCs w:val="21"/>
        </w:rPr>
      </w:pPr>
      <w:r w:rsidRPr="00822522">
        <w:rPr>
          <w:rFonts w:ascii="Times New Roman" w:eastAsia="Times New Roman" w:hAnsi="Times New Roman" w:cs="Times New Roman"/>
          <w:b/>
          <w:bCs/>
          <w:kern w:val="36"/>
          <w:sz w:val="28"/>
          <w:szCs w:val="28"/>
        </w:rPr>
        <w:t>Patton v. Vanterpool</w:t>
      </w:r>
      <w:r>
        <w:rPr>
          <w:rFonts w:ascii="Times New Roman" w:eastAsia="Times New Roman" w:hAnsi="Times New Roman" w:cs="Times New Roman"/>
          <w:b/>
          <w:bCs/>
          <w:kern w:val="36"/>
          <w:sz w:val="28"/>
          <w:szCs w:val="28"/>
        </w:rPr>
        <w:t xml:space="preserve">, </w:t>
      </w:r>
      <w:r w:rsidRPr="00822522">
        <w:rPr>
          <w:rFonts w:ascii="Open Sans" w:hAnsi="Open Sans" w:cs="Helvetica"/>
          <w:b/>
          <w:color w:val="333333"/>
          <w:sz w:val="23"/>
          <w:szCs w:val="23"/>
        </w:rPr>
        <w:t>S17A0767</w:t>
      </w:r>
      <w:r w:rsidR="00C863D7">
        <w:rPr>
          <w:rFonts w:ascii="Open Sans" w:hAnsi="Open Sans" w:cs="Helvetica"/>
          <w:b/>
          <w:color w:val="333333"/>
          <w:sz w:val="23"/>
          <w:szCs w:val="23"/>
        </w:rPr>
        <w:t xml:space="preserve">, </w:t>
      </w:r>
      <w:r w:rsidR="00465D55">
        <w:rPr>
          <w:rFonts w:ascii="Georgia" w:hAnsi="Georgia" w:cs="Arial"/>
          <w:color w:val="212121"/>
          <w:sz w:val="21"/>
          <w:szCs w:val="21"/>
        </w:rPr>
        <w:t>October 16, 2017</w:t>
      </w:r>
    </w:p>
    <w:p w:rsidR="00C863D7" w:rsidRDefault="00C863D7" w:rsidP="00C863D7">
      <w:pPr>
        <w:spacing w:line="240" w:lineRule="auto"/>
        <w:rPr>
          <w:rFonts w:ascii="Times New Roman" w:eastAsia="Times New Roman" w:hAnsi="Times New Roman" w:cs="Times New Roman"/>
          <w:sz w:val="24"/>
          <w:szCs w:val="24"/>
        </w:rPr>
      </w:pPr>
      <w:r w:rsidRPr="00822522">
        <w:rPr>
          <w:rFonts w:ascii="Times New Roman" w:eastAsia="Times New Roman" w:hAnsi="Times New Roman" w:cs="Times New Roman"/>
          <w:sz w:val="24"/>
          <w:szCs w:val="24"/>
        </w:rPr>
        <w:t xml:space="preserve"> </w:t>
      </w:r>
      <w:r w:rsidR="00465D55">
        <w:rPr>
          <w:rFonts w:ascii="Georgia" w:hAnsi="Georgia" w:cs="Arial"/>
          <w:color w:val="212121"/>
          <w:sz w:val="21"/>
          <w:szCs w:val="21"/>
        </w:rPr>
        <w:t>2017 WL 4582398</w:t>
      </w:r>
    </w:p>
    <w:p w:rsidR="001E2A32" w:rsidRPr="00822522" w:rsidRDefault="001E2A32" w:rsidP="00C863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Margaret Gettle Washburn, sr. cont. ed.</w:t>
      </w:r>
    </w:p>
    <w:p w:rsidR="00822522" w:rsidRPr="00822522" w:rsidRDefault="00C863D7" w:rsidP="00BD4811">
      <w:pPr>
        <w:spacing w:after="225" w:line="240" w:lineRule="auto"/>
        <w:jc w:val="both"/>
        <w:outlineLvl w:val="3"/>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0</wp:posOffset>
            </wp:positionH>
            <wp:positionV relativeFrom="page">
              <wp:posOffset>1876425</wp:posOffset>
            </wp:positionV>
            <wp:extent cx="1371600"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publicdomainpictures.net%2fpictures%2f50000%2fnahled%2fbaby-carriage-clipart.jpg&amp;ehk=OWGGd0aKUYxi6xRfx%2botKw&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097280"/>
                    </a:xfrm>
                    <a:prstGeom prst="rect">
                      <a:avLst/>
                    </a:prstGeom>
                  </pic:spPr>
                </pic:pic>
              </a:graphicData>
            </a:graphic>
            <wp14:sizeRelH relativeFrom="page">
              <wp14:pctWidth>0</wp14:pctWidth>
            </wp14:sizeRelH>
            <wp14:sizeRelV relativeFrom="page">
              <wp14:pctHeight>0</wp14:pctHeight>
            </wp14:sizeRelV>
          </wp:anchor>
        </w:drawing>
      </w:r>
      <w:r w:rsidR="00822522" w:rsidRPr="00822522">
        <w:rPr>
          <w:rFonts w:ascii="Times New Roman" w:eastAsia="Times New Roman" w:hAnsi="Times New Roman" w:cs="Times New Roman"/>
          <w:sz w:val="24"/>
          <w:szCs w:val="24"/>
        </w:rPr>
        <w:t>The Court reversed the grant of summary judgment</w:t>
      </w:r>
      <w:r w:rsidR="00465D55">
        <w:rPr>
          <w:rFonts w:ascii="Times New Roman" w:eastAsia="Times New Roman" w:hAnsi="Times New Roman" w:cs="Times New Roman"/>
          <w:sz w:val="24"/>
          <w:szCs w:val="24"/>
        </w:rPr>
        <w:t xml:space="preserve">, Superior Court of Chatham County, to the Mother </w:t>
      </w:r>
      <w:r w:rsidR="00822522" w:rsidRPr="00822522">
        <w:rPr>
          <w:rFonts w:ascii="Times New Roman" w:eastAsia="Times New Roman" w:hAnsi="Times New Roman" w:cs="Times New Roman"/>
          <w:sz w:val="24"/>
          <w:szCs w:val="24"/>
        </w:rPr>
        <w:t xml:space="preserve">on the issue of paternity in a divorce action, finding that O.C.G.A. </w:t>
      </w:r>
      <w:r w:rsidR="00465D55">
        <w:rPr>
          <w:rFonts w:ascii="Times New Roman" w:eastAsia="Times New Roman" w:hAnsi="Times New Roman" w:cs="Times New Roman"/>
          <w:sz w:val="24"/>
          <w:szCs w:val="24"/>
        </w:rPr>
        <w:t xml:space="preserve">§ </w:t>
      </w:r>
      <w:r w:rsidR="00822522" w:rsidRPr="00822522">
        <w:rPr>
          <w:rFonts w:ascii="Times New Roman" w:eastAsia="Times New Roman" w:hAnsi="Times New Roman" w:cs="Times New Roman"/>
          <w:sz w:val="24"/>
          <w:szCs w:val="24"/>
        </w:rPr>
        <w:t>19-7-21, which creates an irrebuttable presumption of legitimacy with respect to children conceived by means of artificial insemination does not extend to children conceived by in-vitro fertilization treatment.</w:t>
      </w:r>
      <w:r w:rsidR="00465D55">
        <w:rPr>
          <w:rFonts w:ascii="Times New Roman" w:eastAsia="Times New Roman" w:hAnsi="Times New Roman" w:cs="Times New Roman"/>
          <w:sz w:val="24"/>
          <w:szCs w:val="24"/>
        </w:rPr>
        <w:t xml:space="preserve">  This opinion and the dissent are a fun read, however, leaves open the question as to the status of a child of in-vitro</w:t>
      </w:r>
      <w:r w:rsidR="00EB5494">
        <w:rPr>
          <w:rFonts w:ascii="Times New Roman" w:eastAsia="Times New Roman" w:hAnsi="Times New Roman" w:cs="Times New Roman"/>
          <w:sz w:val="24"/>
          <w:szCs w:val="24"/>
        </w:rPr>
        <w:t>, which is the emphasis of the dissent.</w:t>
      </w:r>
    </w:p>
    <w:bookmarkEnd w:id="0"/>
    <w:p w:rsidR="001E2A32" w:rsidRDefault="00EB5494"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BD4811">
        <w:rPr>
          <w:rFonts w:ascii="Times New Roman" w:eastAsia="Times New Roman" w:hAnsi="Times New Roman" w:cs="Times New Roman"/>
          <w:color w:val="333333"/>
          <w:sz w:val="24"/>
          <w:szCs w:val="24"/>
        </w:rPr>
        <w:t>In this very interesting case, the</w:t>
      </w:r>
      <w:r w:rsidR="00822522" w:rsidRPr="00BD4811">
        <w:rPr>
          <w:rFonts w:ascii="Times New Roman" w:eastAsia="Times New Roman" w:hAnsi="Times New Roman" w:cs="Times New Roman"/>
          <w:color w:val="333333"/>
          <w:sz w:val="24"/>
          <w:szCs w:val="24"/>
        </w:rPr>
        <w:t xml:space="preserve"> Supreme Court, Justice </w:t>
      </w:r>
      <w:r w:rsidR="001E2A32">
        <w:rPr>
          <w:rFonts w:ascii="Times New Roman" w:eastAsia="Times New Roman" w:hAnsi="Times New Roman" w:cs="Times New Roman"/>
          <w:color w:val="333333"/>
          <w:sz w:val="24"/>
          <w:szCs w:val="24"/>
        </w:rPr>
        <w:t xml:space="preserve">Carol </w:t>
      </w:r>
      <w:r w:rsidR="00822522" w:rsidRPr="00BD4811">
        <w:rPr>
          <w:rFonts w:ascii="Times New Roman" w:eastAsia="Times New Roman" w:hAnsi="Times New Roman" w:cs="Times New Roman"/>
          <w:color w:val="333333"/>
          <w:sz w:val="24"/>
          <w:szCs w:val="24"/>
        </w:rPr>
        <w:t>Hunstein</w:t>
      </w:r>
      <w:r w:rsidR="00465D55">
        <w:rPr>
          <w:rFonts w:ascii="Times New Roman" w:eastAsia="Times New Roman" w:hAnsi="Times New Roman" w:cs="Times New Roman"/>
          <w:color w:val="333333"/>
          <w:sz w:val="24"/>
          <w:szCs w:val="24"/>
        </w:rPr>
        <w:t xml:space="preserve">, </w:t>
      </w:r>
      <w:r w:rsidR="00BD4811">
        <w:rPr>
          <w:rFonts w:ascii="Times New Roman" w:eastAsia="Times New Roman" w:hAnsi="Times New Roman" w:cs="Times New Roman"/>
          <w:color w:val="333333"/>
          <w:sz w:val="24"/>
          <w:szCs w:val="24"/>
        </w:rPr>
        <w:t xml:space="preserve">held that </w:t>
      </w:r>
      <w:r w:rsidR="00822522" w:rsidRPr="00822522">
        <w:rPr>
          <w:rFonts w:ascii="Times New Roman" w:eastAsia="Times New Roman" w:hAnsi="Times New Roman" w:cs="Times New Roman"/>
          <w:color w:val="333333"/>
          <w:sz w:val="24"/>
          <w:szCs w:val="24"/>
        </w:rPr>
        <w:t>OCGA § 19-7-21 creates an “irrebuttable presumption” of legitimacy with respect to “[a]ll children born within wedlock or within the usual period of gestation thereafter who [were] conceived by means of</w:t>
      </w:r>
      <w:r w:rsidR="00822522" w:rsidRPr="00822522">
        <w:rPr>
          <w:rFonts w:ascii="Times New Roman" w:eastAsia="Times New Roman" w:hAnsi="Times New Roman" w:cs="Times New Roman"/>
          <w:i/>
          <w:iCs/>
          <w:color w:val="333333"/>
          <w:sz w:val="24"/>
          <w:szCs w:val="24"/>
        </w:rPr>
        <w:t xml:space="preserve"> artificial insemination.</w:t>
      </w:r>
      <w:r w:rsidR="00822522" w:rsidRPr="00822522">
        <w:rPr>
          <w:rFonts w:ascii="Times New Roman" w:eastAsia="Times New Roman" w:hAnsi="Times New Roman" w:cs="Times New Roman"/>
          <w:color w:val="333333"/>
          <w:sz w:val="24"/>
          <w:szCs w:val="24"/>
        </w:rPr>
        <w:t xml:space="preserve">” (Emphasis supplied.) </w:t>
      </w:r>
    </w:p>
    <w:p w:rsidR="00BD4811" w:rsidRPr="001E2A32" w:rsidRDefault="00EB5494" w:rsidP="001E2A32">
      <w:pPr>
        <w:spacing w:after="15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b/>
      </w:r>
      <w:r w:rsidR="00822522" w:rsidRPr="00822522">
        <w:rPr>
          <w:rFonts w:ascii="Times New Roman" w:eastAsia="Times New Roman" w:hAnsi="Times New Roman" w:cs="Times New Roman"/>
          <w:b/>
          <w:color w:val="333333"/>
          <w:sz w:val="24"/>
          <w:szCs w:val="24"/>
        </w:rPr>
        <w:t>This appeal presents the question of whether that irrebuttable presumption applies to children so conceived by means of</w:t>
      </w:r>
      <w:r w:rsidR="00822522" w:rsidRPr="00822522">
        <w:rPr>
          <w:rFonts w:ascii="Times New Roman" w:eastAsia="Times New Roman" w:hAnsi="Times New Roman" w:cs="Times New Roman"/>
          <w:b/>
          <w:i/>
          <w:iCs/>
          <w:color w:val="333333"/>
          <w:sz w:val="24"/>
          <w:szCs w:val="24"/>
        </w:rPr>
        <w:t xml:space="preserve"> in-vitro fertilization</w:t>
      </w:r>
      <w:r w:rsidR="00822522" w:rsidRPr="00822522">
        <w:rPr>
          <w:rFonts w:ascii="Times New Roman" w:eastAsia="Times New Roman" w:hAnsi="Times New Roman" w:cs="Times New Roman"/>
          <w:b/>
          <w:color w:val="333333"/>
          <w:sz w:val="24"/>
          <w:szCs w:val="24"/>
        </w:rPr>
        <w:t xml:space="preserve"> (“IVF”).</w:t>
      </w:r>
      <w:r w:rsidR="00822522" w:rsidRPr="00822522">
        <w:rPr>
          <w:rFonts w:ascii="Times New Roman" w:eastAsia="Times New Roman" w:hAnsi="Times New Roman" w:cs="Times New Roman"/>
          <w:color w:val="333333"/>
          <w:sz w:val="24"/>
          <w:szCs w:val="24"/>
        </w:rPr>
        <w:t xml:space="preserve"> </w:t>
      </w:r>
      <w:r w:rsidR="00BD4811" w:rsidRPr="001E2A32">
        <w:rPr>
          <w:rFonts w:ascii="Times New Roman" w:eastAsia="Times New Roman" w:hAnsi="Times New Roman" w:cs="Times New Roman"/>
          <w:b/>
          <w:color w:val="333333"/>
          <w:sz w:val="24"/>
          <w:szCs w:val="24"/>
        </w:rPr>
        <w:t xml:space="preserve">The Court found that </w:t>
      </w:r>
      <w:r w:rsidR="00BD4811" w:rsidRPr="00822522">
        <w:rPr>
          <w:rFonts w:ascii="Times New Roman" w:eastAsia="Times New Roman" w:hAnsi="Times New Roman" w:cs="Times New Roman"/>
          <w:b/>
          <w:color w:val="333333"/>
          <w:sz w:val="24"/>
          <w:szCs w:val="24"/>
        </w:rPr>
        <w:t xml:space="preserve">OCGA § 19-7-21 </w:t>
      </w:r>
      <w:r w:rsidR="00822522" w:rsidRPr="00822522">
        <w:rPr>
          <w:rFonts w:ascii="Times New Roman" w:eastAsia="Times New Roman" w:hAnsi="Times New Roman" w:cs="Times New Roman"/>
          <w:b/>
          <w:color w:val="333333"/>
          <w:sz w:val="24"/>
          <w:szCs w:val="24"/>
        </w:rPr>
        <w:t xml:space="preserve">does not </w:t>
      </w:r>
      <w:r w:rsidR="00BD4811" w:rsidRPr="001E2A32">
        <w:rPr>
          <w:rFonts w:ascii="Times New Roman" w:eastAsia="Times New Roman" w:hAnsi="Times New Roman" w:cs="Times New Roman"/>
          <w:b/>
          <w:color w:val="333333"/>
          <w:sz w:val="24"/>
          <w:szCs w:val="24"/>
        </w:rPr>
        <w:t xml:space="preserve">create the same presumption and reversed </w:t>
      </w:r>
      <w:r w:rsidR="00822522" w:rsidRPr="00822522">
        <w:rPr>
          <w:rFonts w:ascii="Times New Roman" w:eastAsia="Times New Roman" w:hAnsi="Times New Roman" w:cs="Times New Roman"/>
          <w:b/>
          <w:color w:val="333333"/>
          <w:sz w:val="24"/>
          <w:szCs w:val="24"/>
        </w:rPr>
        <w:t>the judgment of the superior court.</w:t>
      </w:r>
    </w:p>
    <w:p w:rsidR="00BD4811" w:rsidRDefault="00EB5494"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BD4811">
        <w:rPr>
          <w:rFonts w:ascii="Times New Roman" w:eastAsia="Times New Roman" w:hAnsi="Times New Roman" w:cs="Times New Roman"/>
          <w:color w:val="333333"/>
          <w:sz w:val="24"/>
          <w:szCs w:val="24"/>
        </w:rPr>
        <w:t>David Patton (“Appellant Father Father”</w:t>
      </w:r>
      <w:r w:rsidR="00822522" w:rsidRPr="00822522">
        <w:rPr>
          <w:rFonts w:ascii="Times New Roman" w:eastAsia="Times New Roman" w:hAnsi="Times New Roman" w:cs="Times New Roman"/>
          <w:color w:val="333333"/>
          <w:sz w:val="24"/>
          <w:szCs w:val="24"/>
        </w:rPr>
        <w:t>) filed a complaint for divorce against Jocelyn</w:t>
      </w:r>
      <w:r w:rsidR="00BD4811">
        <w:rPr>
          <w:rFonts w:ascii="Times New Roman" w:eastAsia="Times New Roman" w:hAnsi="Times New Roman" w:cs="Times New Roman"/>
          <w:color w:val="333333"/>
          <w:sz w:val="24"/>
          <w:szCs w:val="24"/>
        </w:rPr>
        <w:t xml:space="preserve"> Vanterpool, M.D. (“Appellee Mother Mother”) in </w:t>
      </w:r>
      <w:r w:rsidR="00465D55">
        <w:rPr>
          <w:rFonts w:ascii="Times New Roman" w:eastAsia="Times New Roman" w:hAnsi="Times New Roman" w:cs="Times New Roman"/>
          <w:color w:val="333333"/>
          <w:sz w:val="24"/>
          <w:szCs w:val="24"/>
        </w:rPr>
        <w:t>January</w:t>
      </w:r>
      <w:r w:rsidR="00BD4811">
        <w:rPr>
          <w:rFonts w:ascii="Times New Roman" w:eastAsia="Times New Roman" w:hAnsi="Times New Roman" w:cs="Times New Roman"/>
          <w:color w:val="333333"/>
          <w:sz w:val="24"/>
          <w:szCs w:val="24"/>
        </w:rPr>
        <w:t xml:space="preserve"> 2014.  They had been married 3 years.  While the case was pending, </w:t>
      </w:r>
      <w:r w:rsidR="00BD4811" w:rsidRPr="00822522">
        <w:rPr>
          <w:rFonts w:ascii="Times New Roman" w:eastAsia="Times New Roman" w:hAnsi="Times New Roman" w:cs="Times New Roman"/>
          <w:color w:val="333333"/>
          <w:sz w:val="24"/>
          <w:szCs w:val="24"/>
        </w:rPr>
        <w:t>the</w:t>
      </w:r>
      <w:r w:rsidR="00822522" w:rsidRPr="00822522">
        <w:rPr>
          <w:rFonts w:ascii="Times New Roman" w:eastAsia="Times New Roman" w:hAnsi="Times New Roman" w:cs="Times New Roman"/>
          <w:color w:val="333333"/>
          <w:sz w:val="24"/>
          <w:szCs w:val="24"/>
        </w:rPr>
        <w:t xml:space="preserve"> parties consented to </w:t>
      </w:r>
      <w:r w:rsidR="00BD4811">
        <w:rPr>
          <w:rFonts w:ascii="Times New Roman" w:eastAsia="Times New Roman" w:hAnsi="Times New Roman" w:cs="Times New Roman"/>
          <w:color w:val="333333"/>
          <w:sz w:val="24"/>
          <w:szCs w:val="24"/>
        </w:rPr>
        <w:t>Appellee Mother</w:t>
      </w:r>
      <w:r w:rsidR="00822522" w:rsidRPr="00822522">
        <w:rPr>
          <w:rFonts w:ascii="Times New Roman" w:eastAsia="Times New Roman" w:hAnsi="Times New Roman" w:cs="Times New Roman"/>
          <w:color w:val="333333"/>
          <w:sz w:val="24"/>
          <w:szCs w:val="24"/>
        </w:rPr>
        <w:t xml:space="preserve"> undergoing IVF </w:t>
      </w:r>
      <w:r w:rsidR="00BD4811" w:rsidRPr="00822522">
        <w:rPr>
          <w:rFonts w:ascii="Times New Roman" w:eastAsia="Times New Roman" w:hAnsi="Times New Roman" w:cs="Times New Roman"/>
          <w:color w:val="333333"/>
          <w:sz w:val="24"/>
          <w:szCs w:val="24"/>
        </w:rPr>
        <w:t>treatment, which</w:t>
      </w:r>
      <w:r w:rsidR="00822522" w:rsidRPr="00822522">
        <w:rPr>
          <w:rFonts w:ascii="Times New Roman" w:eastAsia="Times New Roman" w:hAnsi="Times New Roman" w:cs="Times New Roman"/>
          <w:color w:val="333333"/>
          <w:sz w:val="24"/>
          <w:szCs w:val="24"/>
        </w:rPr>
        <w:t xml:space="preserve"> would eventually utilize both donor ova and donor sperm</w:t>
      </w:r>
      <w:r w:rsidR="00BD4811">
        <w:rPr>
          <w:rFonts w:ascii="Times New Roman" w:eastAsia="Times New Roman" w:hAnsi="Times New Roman" w:cs="Times New Roman"/>
          <w:color w:val="333333"/>
          <w:sz w:val="24"/>
          <w:szCs w:val="24"/>
        </w:rPr>
        <w:t>.  O</w:t>
      </w:r>
      <w:r w:rsidR="00822522" w:rsidRPr="00822522">
        <w:rPr>
          <w:rFonts w:ascii="Times New Roman" w:eastAsia="Times New Roman" w:hAnsi="Times New Roman" w:cs="Times New Roman"/>
          <w:color w:val="333333"/>
          <w:sz w:val="24"/>
          <w:szCs w:val="24"/>
        </w:rPr>
        <w:t xml:space="preserve">n November 10, 2014, </w:t>
      </w:r>
      <w:r w:rsidR="00BD4811">
        <w:rPr>
          <w:rFonts w:ascii="Times New Roman" w:eastAsia="Times New Roman" w:hAnsi="Times New Roman" w:cs="Times New Roman"/>
          <w:color w:val="333333"/>
          <w:sz w:val="24"/>
          <w:szCs w:val="24"/>
        </w:rPr>
        <w:t>Appellee Mother</w:t>
      </w:r>
      <w:r w:rsidR="00822522" w:rsidRPr="00822522">
        <w:rPr>
          <w:rFonts w:ascii="Times New Roman" w:eastAsia="Times New Roman" w:hAnsi="Times New Roman" w:cs="Times New Roman"/>
          <w:color w:val="333333"/>
          <w:sz w:val="24"/>
          <w:szCs w:val="24"/>
        </w:rPr>
        <w:t xml:space="preserve"> traveled to the Czech Republic for the IVF procedure. Four days later, on November 14, 2014, a final judgment and decree of divorce was entered in the divorce action. The divorce decree incorporated the parties’ settlement agreement, </w:t>
      </w:r>
      <w:r w:rsidR="00822522" w:rsidRPr="00822522">
        <w:rPr>
          <w:rFonts w:ascii="Times New Roman" w:eastAsia="Times New Roman" w:hAnsi="Times New Roman" w:cs="Times New Roman"/>
          <w:b/>
          <w:color w:val="333333"/>
          <w:sz w:val="24"/>
          <w:szCs w:val="24"/>
        </w:rPr>
        <w:t>which reflects that, at the time of the agreement, the parties neither had nor were expecting children produced of the marriage</w:t>
      </w:r>
      <w:r w:rsidR="00822522" w:rsidRPr="00822522">
        <w:rPr>
          <w:rFonts w:ascii="Times New Roman" w:eastAsia="Times New Roman" w:hAnsi="Times New Roman" w:cs="Times New Roman"/>
          <w:color w:val="333333"/>
          <w:sz w:val="24"/>
          <w:szCs w:val="24"/>
        </w:rPr>
        <w:t>.</w:t>
      </w:r>
      <w:r w:rsidR="00BD4811">
        <w:rPr>
          <w:rFonts w:ascii="Times New Roman" w:eastAsia="Times New Roman" w:hAnsi="Times New Roman" w:cs="Times New Roman"/>
          <w:color w:val="333333"/>
          <w:sz w:val="24"/>
          <w:szCs w:val="24"/>
        </w:rPr>
        <w:t xml:space="preserve"> (emphasis supplied).</w:t>
      </w:r>
    </w:p>
    <w:p w:rsidR="003228FA" w:rsidRDefault="00D87650"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1285240</wp:posOffset>
            </wp:positionV>
            <wp:extent cx="914400" cy="85329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914400" cy="853296"/>
                    </a:xfrm>
                    <a:prstGeom prst="rect">
                      <a:avLst/>
                    </a:prstGeom>
                  </pic:spPr>
                </pic:pic>
              </a:graphicData>
            </a:graphic>
          </wp:anchor>
        </w:drawing>
      </w:r>
      <w:r w:rsidR="00822522" w:rsidRPr="00822522">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ab/>
      </w:r>
      <w:r w:rsidR="00BD4811">
        <w:rPr>
          <w:rFonts w:ascii="Times New Roman" w:eastAsia="Times New Roman" w:hAnsi="Times New Roman" w:cs="Times New Roman"/>
          <w:color w:val="333333"/>
          <w:sz w:val="24"/>
          <w:szCs w:val="24"/>
        </w:rPr>
        <w:t>On</w:t>
      </w:r>
      <w:r w:rsidR="00822522" w:rsidRPr="00822522">
        <w:rPr>
          <w:rFonts w:ascii="Times New Roman" w:eastAsia="Times New Roman" w:hAnsi="Times New Roman" w:cs="Times New Roman"/>
          <w:color w:val="333333"/>
          <w:sz w:val="24"/>
          <w:szCs w:val="24"/>
        </w:rPr>
        <w:t xml:space="preserve"> June 6, 2015, </w:t>
      </w:r>
      <w:r w:rsidR="00BD4811">
        <w:rPr>
          <w:rFonts w:ascii="Times New Roman" w:eastAsia="Times New Roman" w:hAnsi="Times New Roman" w:cs="Times New Roman"/>
          <w:color w:val="333333"/>
          <w:sz w:val="24"/>
          <w:szCs w:val="24"/>
        </w:rPr>
        <w:t xml:space="preserve">Appellee Mother </w:t>
      </w:r>
      <w:r w:rsidR="00822522" w:rsidRPr="00822522">
        <w:rPr>
          <w:rFonts w:ascii="Times New Roman" w:eastAsia="Times New Roman" w:hAnsi="Times New Roman" w:cs="Times New Roman"/>
          <w:color w:val="333333"/>
          <w:sz w:val="24"/>
          <w:szCs w:val="24"/>
        </w:rPr>
        <w:t xml:space="preserve">gave birth </w:t>
      </w:r>
      <w:r w:rsidR="00BD4811">
        <w:rPr>
          <w:rFonts w:ascii="Times New Roman" w:eastAsia="Times New Roman" w:hAnsi="Times New Roman" w:cs="Times New Roman"/>
          <w:color w:val="333333"/>
          <w:sz w:val="24"/>
          <w:szCs w:val="24"/>
        </w:rPr>
        <w:t xml:space="preserve">and </w:t>
      </w:r>
      <w:r w:rsidR="00822522" w:rsidRPr="00822522">
        <w:rPr>
          <w:rFonts w:ascii="Times New Roman" w:eastAsia="Times New Roman" w:hAnsi="Times New Roman" w:cs="Times New Roman"/>
          <w:color w:val="333333"/>
          <w:sz w:val="24"/>
          <w:szCs w:val="24"/>
        </w:rPr>
        <w:t xml:space="preserve">moved the superior court to set aside the decree of divorce, seeking to include the minor child in the divorce agreement; this motion was denied. </w:t>
      </w:r>
      <w:r w:rsidR="00BD4811">
        <w:rPr>
          <w:rFonts w:ascii="Times New Roman" w:eastAsia="Times New Roman" w:hAnsi="Times New Roman" w:cs="Times New Roman"/>
          <w:color w:val="333333"/>
          <w:sz w:val="24"/>
          <w:szCs w:val="24"/>
        </w:rPr>
        <w:t xml:space="preserve">Appellee Mother </w:t>
      </w:r>
      <w:r w:rsidR="00822522" w:rsidRPr="00822522">
        <w:rPr>
          <w:rFonts w:ascii="Times New Roman" w:eastAsia="Times New Roman" w:hAnsi="Times New Roman" w:cs="Times New Roman"/>
          <w:color w:val="333333"/>
          <w:sz w:val="24"/>
          <w:szCs w:val="24"/>
        </w:rPr>
        <w:t xml:space="preserve">thereafter instituted a paternity action against </w:t>
      </w:r>
      <w:r w:rsidR="00BD4811">
        <w:rPr>
          <w:rFonts w:ascii="Times New Roman" w:eastAsia="Times New Roman" w:hAnsi="Times New Roman" w:cs="Times New Roman"/>
          <w:color w:val="333333"/>
          <w:sz w:val="24"/>
          <w:szCs w:val="24"/>
        </w:rPr>
        <w:t>Appellant Father</w:t>
      </w:r>
      <w:r w:rsidR="00822522" w:rsidRPr="00822522">
        <w:rPr>
          <w:rFonts w:ascii="Times New Roman" w:eastAsia="Times New Roman" w:hAnsi="Times New Roman" w:cs="Times New Roman"/>
          <w:color w:val="333333"/>
          <w:sz w:val="24"/>
          <w:szCs w:val="24"/>
        </w:rPr>
        <w:t xml:space="preserve">, alleging that he gave written, informed consent for IVF and that OCGA § 19-7-21 created an irrebuttable presumption of paternity; </w:t>
      </w:r>
      <w:r w:rsidR="00BD4811">
        <w:rPr>
          <w:rFonts w:ascii="Times New Roman" w:eastAsia="Times New Roman" w:hAnsi="Times New Roman" w:cs="Times New Roman"/>
          <w:color w:val="333333"/>
          <w:sz w:val="24"/>
          <w:szCs w:val="24"/>
        </w:rPr>
        <w:t>Appellee Mother</w:t>
      </w:r>
      <w:r w:rsidR="00822522" w:rsidRPr="00822522">
        <w:rPr>
          <w:rFonts w:ascii="Times New Roman" w:eastAsia="Times New Roman" w:hAnsi="Times New Roman" w:cs="Times New Roman"/>
          <w:color w:val="333333"/>
          <w:sz w:val="24"/>
          <w:szCs w:val="24"/>
        </w:rPr>
        <w:t xml:space="preserve"> also sought child support. </w:t>
      </w:r>
    </w:p>
    <w:p w:rsidR="00BD4811" w:rsidRPr="003228FA" w:rsidRDefault="00822522" w:rsidP="001E2A32">
      <w:pPr>
        <w:spacing w:after="150" w:line="240" w:lineRule="auto"/>
        <w:jc w:val="both"/>
        <w:rPr>
          <w:rFonts w:ascii="Times New Roman" w:eastAsia="Times New Roman" w:hAnsi="Times New Roman" w:cs="Times New Roman"/>
          <w:b/>
          <w:color w:val="333333"/>
          <w:sz w:val="24"/>
          <w:szCs w:val="24"/>
        </w:rPr>
      </w:pPr>
      <w:r w:rsidRPr="00822522">
        <w:rPr>
          <w:rFonts w:ascii="Times New Roman" w:eastAsia="Times New Roman" w:hAnsi="Times New Roman" w:cs="Times New Roman"/>
          <w:color w:val="333333"/>
          <w:sz w:val="24"/>
          <w:szCs w:val="24"/>
        </w:rPr>
        <w:t xml:space="preserve">In response, </w:t>
      </w:r>
      <w:r w:rsidR="00BD4811">
        <w:rPr>
          <w:rFonts w:ascii="Times New Roman" w:eastAsia="Times New Roman" w:hAnsi="Times New Roman" w:cs="Times New Roman"/>
          <w:color w:val="333333"/>
          <w:sz w:val="24"/>
          <w:szCs w:val="24"/>
        </w:rPr>
        <w:t>Appellant Father</w:t>
      </w:r>
      <w:r w:rsidRPr="00822522">
        <w:rPr>
          <w:rFonts w:ascii="Times New Roman" w:eastAsia="Times New Roman" w:hAnsi="Times New Roman" w:cs="Times New Roman"/>
          <w:color w:val="333333"/>
          <w:sz w:val="24"/>
          <w:szCs w:val="24"/>
        </w:rPr>
        <w:t xml:space="preserve"> argued that he did not meaningfully consent to IVF and that, even if he did, OCGA § 19-7-21 is unconstitutional. </w:t>
      </w:r>
      <w:r w:rsidRPr="00822522">
        <w:rPr>
          <w:rFonts w:ascii="Times New Roman" w:eastAsia="Times New Roman" w:hAnsi="Times New Roman" w:cs="Times New Roman"/>
          <w:b/>
          <w:color w:val="333333"/>
          <w:sz w:val="24"/>
          <w:szCs w:val="24"/>
        </w:rPr>
        <w:t xml:space="preserve">The trial court sided with </w:t>
      </w:r>
      <w:r w:rsidR="00BD4811" w:rsidRPr="003228FA">
        <w:rPr>
          <w:rFonts w:ascii="Times New Roman" w:eastAsia="Times New Roman" w:hAnsi="Times New Roman" w:cs="Times New Roman"/>
          <w:b/>
          <w:color w:val="333333"/>
          <w:sz w:val="24"/>
          <w:szCs w:val="24"/>
        </w:rPr>
        <w:t>Appellee Mother</w:t>
      </w:r>
      <w:r w:rsidRPr="00822522">
        <w:rPr>
          <w:rFonts w:ascii="Times New Roman" w:eastAsia="Times New Roman" w:hAnsi="Times New Roman" w:cs="Times New Roman"/>
          <w:b/>
          <w:color w:val="333333"/>
          <w:sz w:val="24"/>
          <w:szCs w:val="24"/>
        </w:rPr>
        <w:t xml:space="preserve">, granting her summary judgment on the issue of paternity. </w:t>
      </w:r>
    </w:p>
    <w:p w:rsidR="00D87650" w:rsidRDefault="00D87650"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BD4811">
        <w:rPr>
          <w:rFonts w:ascii="Times New Roman" w:eastAsia="Times New Roman" w:hAnsi="Times New Roman" w:cs="Times New Roman"/>
          <w:color w:val="333333"/>
          <w:sz w:val="24"/>
          <w:szCs w:val="24"/>
        </w:rPr>
        <w:t xml:space="preserve">In September 2016, the Supreme </w:t>
      </w:r>
      <w:r w:rsidR="00822522" w:rsidRPr="00822522">
        <w:rPr>
          <w:rFonts w:ascii="Times New Roman" w:eastAsia="Times New Roman" w:hAnsi="Times New Roman" w:cs="Times New Roman"/>
          <w:color w:val="333333"/>
          <w:sz w:val="24"/>
          <w:szCs w:val="24"/>
        </w:rPr>
        <w:t xml:space="preserve">Court granted </w:t>
      </w:r>
      <w:r w:rsidR="00BD4811">
        <w:rPr>
          <w:rFonts w:ascii="Times New Roman" w:eastAsia="Times New Roman" w:hAnsi="Times New Roman" w:cs="Times New Roman"/>
          <w:color w:val="333333"/>
          <w:sz w:val="24"/>
          <w:szCs w:val="24"/>
        </w:rPr>
        <w:t>Appellant Father</w:t>
      </w:r>
      <w:r w:rsidR="00822522" w:rsidRPr="00822522">
        <w:rPr>
          <w:rFonts w:ascii="Times New Roman" w:eastAsia="Times New Roman" w:hAnsi="Times New Roman" w:cs="Times New Roman"/>
          <w:color w:val="333333"/>
          <w:sz w:val="24"/>
          <w:szCs w:val="24"/>
        </w:rPr>
        <w:t xml:space="preserve">’s application for discretionary appeal, asking the parties to address whether OCGA </w:t>
      </w:r>
      <w:r w:rsidR="00822522" w:rsidRPr="00822522">
        <w:rPr>
          <w:rFonts w:ascii="Times New Roman" w:eastAsia="Times New Roman" w:hAnsi="Times New Roman" w:cs="Times New Roman"/>
          <w:color w:val="333333"/>
          <w:sz w:val="24"/>
          <w:szCs w:val="24"/>
        </w:rPr>
        <w:lastRenderedPageBreak/>
        <w:t>§ 19-7-21 applies to children conceived by means of IVF and, if so, whether OCGA § 19-7-21 is unconstitutional.</w:t>
      </w:r>
      <w:r>
        <w:rPr>
          <w:rFonts w:ascii="Times New Roman" w:eastAsia="Times New Roman" w:hAnsi="Times New Roman" w:cs="Times New Roman"/>
          <w:color w:val="333333"/>
          <w:sz w:val="24"/>
          <w:szCs w:val="24"/>
        </w:rPr>
        <w:t xml:space="preserve">  Further, to </w:t>
      </w:r>
      <w:r w:rsidR="00A17187">
        <w:rPr>
          <w:rFonts w:ascii="Times New Roman" w:eastAsia="Times New Roman" w:hAnsi="Times New Roman" w:cs="Times New Roman"/>
          <w:color w:val="333333"/>
          <w:sz w:val="24"/>
          <w:szCs w:val="24"/>
        </w:rPr>
        <w:t>interpret OCGA</w:t>
      </w:r>
      <w:r w:rsidR="00FD5DEB">
        <w:rPr>
          <w:rFonts w:ascii="Times New Roman" w:eastAsia="Times New Roman" w:hAnsi="Times New Roman" w:cs="Times New Roman"/>
          <w:color w:val="333333"/>
          <w:sz w:val="24"/>
          <w:szCs w:val="24"/>
        </w:rPr>
        <w:t xml:space="preserve"> § </w:t>
      </w:r>
      <w:r w:rsidR="00822522" w:rsidRPr="00822522">
        <w:rPr>
          <w:rFonts w:ascii="Times New Roman" w:eastAsia="Times New Roman" w:hAnsi="Times New Roman" w:cs="Times New Roman"/>
          <w:color w:val="333333"/>
          <w:sz w:val="24"/>
          <w:szCs w:val="24"/>
        </w:rPr>
        <w:t>19-7-21 to d</w:t>
      </w:r>
      <w:r>
        <w:rPr>
          <w:rFonts w:ascii="Times New Roman" w:eastAsia="Times New Roman" w:hAnsi="Times New Roman" w:cs="Times New Roman"/>
          <w:color w:val="333333"/>
          <w:sz w:val="24"/>
          <w:szCs w:val="24"/>
        </w:rPr>
        <w:t xml:space="preserve">etermine </w:t>
      </w:r>
      <w:r w:rsidR="00822522" w:rsidRPr="00822522">
        <w:rPr>
          <w:rFonts w:ascii="Times New Roman" w:eastAsia="Times New Roman" w:hAnsi="Times New Roman" w:cs="Times New Roman"/>
          <w:color w:val="333333"/>
          <w:sz w:val="24"/>
          <w:szCs w:val="24"/>
        </w:rPr>
        <w:t>whether the irrebuttable presumption created with respect to children conceived by means of “artificial insemination” extends to children conceived by IVF therapy</w:t>
      </w:r>
      <w:r>
        <w:rPr>
          <w:rFonts w:ascii="Times New Roman" w:eastAsia="Times New Roman" w:hAnsi="Times New Roman" w:cs="Times New Roman"/>
          <w:color w:val="333333"/>
          <w:sz w:val="24"/>
          <w:szCs w:val="24"/>
        </w:rPr>
        <w:t>.</w:t>
      </w:r>
    </w:p>
    <w:p w:rsidR="00D87650" w:rsidRDefault="00D87650"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 Court stated</w:t>
      </w:r>
      <w:r w:rsidR="003228FA">
        <w:rPr>
          <w:rFonts w:ascii="Times New Roman" w:eastAsia="Times New Roman" w:hAnsi="Times New Roman" w:cs="Times New Roman"/>
          <w:color w:val="333333"/>
          <w:sz w:val="24"/>
          <w:szCs w:val="24"/>
        </w:rPr>
        <w:t>: “</w:t>
      </w:r>
      <w:r w:rsidR="00822522" w:rsidRPr="00822522">
        <w:rPr>
          <w:rFonts w:ascii="Times New Roman" w:eastAsia="Times New Roman" w:hAnsi="Times New Roman" w:cs="Times New Roman"/>
          <w:color w:val="333333"/>
          <w:sz w:val="24"/>
          <w:szCs w:val="24"/>
        </w:rPr>
        <w:t>Under our well-established rules of statutory construction, we</w:t>
      </w:r>
      <w:r w:rsidR="00822522" w:rsidRPr="00822522">
        <w:rPr>
          <w:rFonts w:ascii="Times New Roman" w:eastAsia="Times New Roman" w:hAnsi="Times New Roman" w:cs="Times New Roman"/>
          <w:color w:val="333333"/>
          <w:sz w:val="24"/>
          <w:szCs w:val="24"/>
        </w:rPr>
        <w:br/>
        <w:t>presume that the General Assembly meant what it said and said what it meant. To that end, we must afford the statutory text its “plain and ordinary meaning,” we must view the statutory text in the context in which it appears, and we must read the statutory text in its most natural and reasonable way, as an ordinary speaker of the English language would.</w:t>
      </w:r>
      <w:r>
        <w:rPr>
          <w:rFonts w:ascii="Times New Roman" w:eastAsia="Times New Roman" w:hAnsi="Times New Roman" w:cs="Times New Roman"/>
          <w:color w:val="333333"/>
          <w:sz w:val="24"/>
          <w:szCs w:val="24"/>
        </w:rPr>
        <w:t xml:space="preserve">” </w:t>
      </w:r>
      <w:r w:rsidR="00822522" w:rsidRPr="00822522">
        <w:rPr>
          <w:rFonts w:ascii="Times New Roman" w:eastAsia="Times New Roman" w:hAnsi="Times New Roman" w:cs="Times New Roman"/>
          <w:color w:val="333333"/>
          <w:sz w:val="24"/>
          <w:szCs w:val="24"/>
          <w:u w:val="single"/>
        </w:rPr>
        <w:t>Deal v. Coleman</w:t>
      </w:r>
      <w:r w:rsidR="00822522" w:rsidRPr="00822522">
        <w:rPr>
          <w:rFonts w:ascii="Times New Roman" w:eastAsia="Times New Roman" w:hAnsi="Times New Roman" w:cs="Times New Roman"/>
          <w:color w:val="333333"/>
          <w:sz w:val="24"/>
          <w:szCs w:val="24"/>
        </w:rPr>
        <w:t xml:space="preserve">, 294 Ga. 170, 172-173 (751 SE2d 337) (2013). </w:t>
      </w:r>
    </w:p>
    <w:p w:rsidR="00D87650" w:rsidRPr="00D52BE5" w:rsidRDefault="00D87650" w:rsidP="001E2A32">
      <w:pPr>
        <w:spacing w:after="150" w:line="240" w:lineRule="auto"/>
        <w:jc w:val="both"/>
        <w:rPr>
          <w:rFonts w:ascii="Times New Roman" w:eastAsia="Times New Roman" w:hAnsi="Times New Roman" w:cs="Times New Roman"/>
          <w:color w:val="333333"/>
          <w:sz w:val="24"/>
          <w:szCs w:val="24"/>
          <w:vertAlign w:val="superscript"/>
        </w:rPr>
      </w:pPr>
      <w:r>
        <w:rPr>
          <w:rFonts w:ascii="Times New Roman" w:eastAsia="Times New Roman" w:hAnsi="Times New Roman" w:cs="Times New Roman"/>
          <w:color w:val="333333"/>
          <w:sz w:val="24"/>
          <w:szCs w:val="24"/>
        </w:rPr>
        <w:tab/>
      </w:r>
      <w:r w:rsidR="00822522" w:rsidRPr="00822522">
        <w:rPr>
          <w:rFonts w:ascii="Times New Roman" w:eastAsia="Times New Roman" w:hAnsi="Times New Roman" w:cs="Times New Roman"/>
          <w:color w:val="333333"/>
          <w:sz w:val="24"/>
          <w:szCs w:val="24"/>
        </w:rPr>
        <w:t>OCGA § 19-7-21 concerns the parent-child relationship generally, stating as follows: “All children born within wedlock or within the usual period of gestation thereafter who have been conceived by means of artificial insemination are irrebuttably presumed legitimate if both spouses have consented in writing to the use and administration of artificial insemination</w:t>
      </w:r>
      <w:r w:rsidR="00822522" w:rsidRPr="00822522">
        <w:rPr>
          <w:rFonts w:ascii="Times New Roman" w:eastAsia="Times New Roman" w:hAnsi="Times New Roman" w:cs="Times New Roman"/>
          <w:b/>
          <w:color w:val="333333"/>
          <w:sz w:val="24"/>
          <w:szCs w:val="24"/>
        </w:rPr>
        <w:t>.” At issue here is the term “artificial insemination,” which is not defined by statute.</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(emphasis supplied).</w:t>
      </w:r>
      <w:r w:rsidR="00D52BE5">
        <w:rPr>
          <w:rFonts w:ascii="Times New Roman" w:eastAsia="Times New Roman" w:hAnsi="Times New Roman" w:cs="Times New Roman"/>
          <w:color w:val="333333"/>
          <w:sz w:val="24"/>
          <w:szCs w:val="24"/>
        </w:rPr>
        <w:t xml:space="preserve"> The Court noted:  </w:t>
      </w:r>
      <w:r w:rsidR="00D52BE5" w:rsidRPr="00D52BE5">
        <w:rPr>
          <w:rFonts w:ascii="Times New Roman" w:hAnsi="Times New Roman" w:cs="Times New Roman"/>
          <w:color w:val="212121"/>
          <w:sz w:val="24"/>
          <w:szCs w:val="24"/>
        </w:rPr>
        <w:t>There is no dispute that the child was born “within the usual period of gestation” following the marriage.</w:t>
      </w:r>
    </w:p>
    <w:p w:rsidR="00D87650" w:rsidRPr="00367B37" w:rsidRDefault="00D87650" w:rsidP="001E2A32">
      <w:pPr>
        <w:spacing w:after="15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ab/>
      </w:r>
      <w:r w:rsidR="00822522" w:rsidRPr="00822522">
        <w:rPr>
          <w:rFonts w:ascii="Times New Roman" w:eastAsia="Times New Roman" w:hAnsi="Times New Roman" w:cs="Times New Roman"/>
          <w:color w:val="333333"/>
          <w:sz w:val="24"/>
          <w:szCs w:val="24"/>
        </w:rPr>
        <w:t xml:space="preserve">Artificial insemination, has been consistently defined as the “introduction of semen into the uterus or oviduct by other than natural means . . . in order to increase the probability of conception.” Webster’s Third International Dictionary 124 (1967). </w:t>
      </w:r>
      <w:r>
        <w:rPr>
          <w:rFonts w:ascii="Times New Roman" w:eastAsia="Times New Roman" w:hAnsi="Times New Roman" w:cs="Times New Roman"/>
          <w:color w:val="333333"/>
          <w:sz w:val="24"/>
          <w:szCs w:val="24"/>
        </w:rPr>
        <w:t xml:space="preserve">(The Supreme Court’s decision also included other definitions of Artificial Insemination).  Further, this </w:t>
      </w:r>
      <w:r w:rsidR="00822522" w:rsidRPr="00822522">
        <w:rPr>
          <w:rFonts w:ascii="Times New Roman" w:eastAsia="Times New Roman" w:hAnsi="Times New Roman" w:cs="Times New Roman"/>
          <w:color w:val="333333"/>
          <w:sz w:val="24"/>
          <w:szCs w:val="24"/>
        </w:rPr>
        <w:t>procedure has been understood for over 150 years, see, e.g., J. Marion Sims, Clinical Notes on Uterine Surgery: With Special Reference to the Management of the Sterile Condition 372 (1866), artificial insemination involves the introduction of</w:t>
      </w:r>
      <w:r w:rsidR="00822522" w:rsidRPr="00822522">
        <w:rPr>
          <w:rFonts w:ascii="Times New Roman" w:eastAsia="Times New Roman" w:hAnsi="Times New Roman" w:cs="Times New Roman"/>
          <w:i/>
          <w:iCs/>
          <w:color w:val="333333"/>
          <w:sz w:val="24"/>
          <w:szCs w:val="24"/>
        </w:rPr>
        <w:t xml:space="preserve"> semen</w:t>
      </w:r>
      <w:r w:rsidR="00822522" w:rsidRPr="00822522">
        <w:rPr>
          <w:rFonts w:ascii="Times New Roman" w:eastAsia="Times New Roman" w:hAnsi="Times New Roman" w:cs="Times New Roman"/>
          <w:color w:val="333333"/>
          <w:sz w:val="24"/>
          <w:szCs w:val="24"/>
        </w:rPr>
        <w:t xml:space="preserve"> to the female reproductive tract to further the purpose of</w:t>
      </w:r>
      <w:r w:rsidR="00822522" w:rsidRPr="00822522">
        <w:rPr>
          <w:rFonts w:ascii="Times New Roman" w:eastAsia="Times New Roman" w:hAnsi="Times New Roman" w:cs="Times New Roman"/>
          <w:i/>
          <w:iCs/>
          <w:color w:val="333333"/>
          <w:sz w:val="24"/>
          <w:szCs w:val="24"/>
        </w:rPr>
        <w:t xml:space="preserve"> in vivo</w:t>
      </w:r>
      <w:r w:rsidR="00367B37" w:rsidRPr="00367B37">
        <w:rPr>
          <w:rFonts w:ascii="Times New Roman" w:eastAsia="Times New Roman" w:hAnsi="Times New Roman" w:cs="Times New Roman"/>
          <w:bCs/>
          <w:i/>
          <w:iCs/>
          <w:color w:val="333333"/>
          <w:sz w:val="24"/>
          <w:szCs w:val="24"/>
          <w:vertAlign w:val="superscript"/>
        </w:rPr>
        <w:t xml:space="preserve"> </w:t>
      </w:r>
      <w:r w:rsidR="00822522" w:rsidRPr="00822522">
        <w:rPr>
          <w:rFonts w:ascii="Times New Roman" w:eastAsia="Times New Roman" w:hAnsi="Times New Roman" w:cs="Times New Roman"/>
          <w:color w:val="333333"/>
          <w:sz w:val="24"/>
          <w:szCs w:val="24"/>
        </w:rPr>
        <w:t>fertilization of an ovum.</w:t>
      </w:r>
      <w:r w:rsidR="00822522" w:rsidRPr="00822522">
        <w:rPr>
          <w:rFonts w:ascii="Times New Roman" w:eastAsia="Times New Roman" w:hAnsi="Times New Roman" w:cs="Times New Roman"/>
          <w:b/>
          <w:color w:val="333333"/>
          <w:sz w:val="24"/>
          <w:szCs w:val="24"/>
        </w:rPr>
        <w:t xml:space="preserve"> </w:t>
      </w:r>
    </w:p>
    <w:p w:rsidR="00D87650" w:rsidRDefault="00D87650" w:rsidP="001E2A32">
      <w:pPr>
        <w:spacing w:after="150" w:line="240" w:lineRule="auto"/>
        <w:jc w:val="both"/>
        <w:rPr>
          <w:rFonts w:ascii="Times New Roman" w:eastAsia="Times New Roman" w:hAnsi="Times New Roman" w:cs="Times New Roman"/>
          <w:color w:val="333333"/>
          <w:sz w:val="24"/>
          <w:szCs w:val="24"/>
        </w:rPr>
      </w:pPr>
      <w:r w:rsidRPr="00367B37">
        <w:rPr>
          <w:rFonts w:ascii="Times New Roman" w:eastAsia="Times New Roman" w:hAnsi="Times New Roman" w:cs="Times New Roman"/>
          <w:b/>
          <w:color w:val="333333"/>
          <w:sz w:val="24"/>
          <w:szCs w:val="24"/>
        </w:rPr>
        <w:tab/>
      </w:r>
      <w:r w:rsidRPr="003228FA">
        <w:rPr>
          <w:rFonts w:ascii="Times New Roman" w:eastAsia="Times New Roman" w:hAnsi="Times New Roman" w:cs="Times New Roman"/>
          <w:color w:val="333333"/>
          <w:sz w:val="24"/>
          <w:szCs w:val="24"/>
        </w:rPr>
        <w:t>“</w:t>
      </w:r>
      <w:r w:rsidR="00822522" w:rsidRPr="00822522">
        <w:rPr>
          <w:rFonts w:ascii="Times New Roman" w:eastAsia="Times New Roman" w:hAnsi="Times New Roman" w:cs="Times New Roman"/>
          <w:color w:val="333333"/>
          <w:sz w:val="24"/>
          <w:szCs w:val="24"/>
        </w:rPr>
        <w:t>We conclude, given the history and well-established meaning and use of the term</w:t>
      </w:r>
      <w:r w:rsidR="00822522" w:rsidRPr="00822522">
        <w:rPr>
          <w:rFonts w:ascii="Times New Roman" w:eastAsia="Times New Roman" w:hAnsi="Times New Roman" w:cs="Times New Roman"/>
          <w:b/>
          <w:color w:val="333333"/>
          <w:sz w:val="24"/>
          <w:szCs w:val="24"/>
        </w:rPr>
        <w:t xml:space="preserve"> “artificial insemination,” that the term is not ambiguous as it is used in OCGA § 19-7-21.</w:t>
      </w:r>
      <w:r w:rsidRPr="00367B37">
        <w:rPr>
          <w:rFonts w:ascii="Times New Roman" w:eastAsia="Times New Roman" w:hAnsi="Times New Roman" w:cs="Times New Roman"/>
          <w:b/>
          <w:color w:val="333333"/>
          <w:sz w:val="24"/>
          <w:szCs w:val="24"/>
          <w:vertAlign w:val="superscript"/>
        </w:rPr>
        <w:t xml:space="preserve"> </w:t>
      </w:r>
      <w:r w:rsidR="00822522" w:rsidRPr="00822522">
        <w:rPr>
          <w:rFonts w:ascii="Times New Roman" w:eastAsia="Times New Roman" w:hAnsi="Times New Roman" w:cs="Times New Roman"/>
          <w:b/>
          <w:color w:val="333333"/>
          <w:sz w:val="24"/>
          <w:szCs w:val="24"/>
        </w:rPr>
        <w:t>We now must address whether artificial insemination includes IVF</w:t>
      </w:r>
      <w:r w:rsidRPr="00367B37">
        <w:rPr>
          <w:rFonts w:ascii="Times New Roman" w:eastAsia="Times New Roman" w:hAnsi="Times New Roman" w:cs="Times New Roman"/>
          <w:b/>
          <w:color w:val="333333"/>
          <w:sz w:val="24"/>
          <w:szCs w:val="24"/>
        </w:rPr>
        <w:t>”</w:t>
      </w:r>
      <w:r w:rsidR="00822522" w:rsidRPr="00822522">
        <w:rPr>
          <w:rFonts w:ascii="Times New Roman" w:eastAsia="Times New Roman" w:hAnsi="Times New Roman" w:cs="Times New Roman"/>
          <w:b/>
          <w:color w:val="333333"/>
          <w:sz w:val="24"/>
          <w:szCs w:val="24"/>
        </w:rPr>
        <w:t>.</w:t>
      </w:r>
      <w:r>
        <w:rPr>
          <w:rFonts w:ascii="Times New Roman" w:eastAsia="Times New Roman" w:hAnsi="Times New Roman" w:cs="Times New Roman"/>
          <w:color w:val="333333"/>
          <w:sz w:val="24"/>
          <w:szCs w:val="24"/>
        </w:rPr>
        <w:t xml:space="preserve">  Further, the Court found, through much thorough discussion in the opinion</w:t>
      </w:r>
      <w:r w:rsidRPr="00465D55">
        <w:rPr>
          <w:rFonts w:ascii="Times New Roman" w:eastAsia="Times New Roman" w:hAnsi="Times New Roman" w:cs="Times New Roman"/>
          <w:color w:val="333333"/>
          <w:sz w:val="24"/>
          <w:szCs w:val="24"/>
        </w:rPr>
        <w:t>:  “</w:t>
      </w:r>
      <w:r w:rsidR="00822522" w:rsidRPr="00822522">
        <w:rPr>
          <w:rFonts w:ascii="Times New Roman" w:eastAsia="Times New Roman" w:hAnsi="Times New Roman" w:cs="Times New Roman"/>
          <w:color w:val="333333"/>
          <w:sz w:val="24"/>
          <w:szCs w:val="24"/>
        </w:rPr>
        <w:t>In-vitro fertilization was first described in the 1970s, see Janet L. Dolgin, The Law Debates the Family: Reproductive Transformations, 7 Yale J. L. &amp; Feminisim 37 (1995),</w:t>
      </w:r>
      <w:r w:rsidR="00822522" w:rsidRPr="00822522">
        <w:rPr>
          <w:rFonts w:ascii="Times New Roman" w:eastAsia="Times New Roman" w:hAnsi="Times New Roman" w:cs="Times New Roman"/>
          <w:b/>
          <w:color w:val="333333"/>
          <w:sz w:val="24"/>
          <w:szCs w:val="24"/>
        </w:rPr>
        <w:t xml:space="preserve"> and involves “[a] procedure [in] which an egg is fertilized outside a woman’s body and then inserted into the womb for gestation.”</w:t>
      </w:r>
      <w:r w:rsidR="00822522" w:rsidRPr="00822522">
        <w:rPr>
          <w:rFonts w:ascii="Times New Roman" w:eastAsia="Times New Roman" w:hAnsi="Times New Roman" w:cs="Times New Roman"/>
          <w:color w:val="333333"/>
          <w:sz w:val="24"/>
          <w:szCs w:val="24"/>
        </w:rPr>
        <w:t xml:space="preserve"> Black’s Law Dictionary 956 (10th ed. 2014).</w:t>
      </w:r>
      <w:r>
        <w:rPr>
          <w:rFonts w:ascii="Times New Roman" w:eastAsia="Times New Roman" w:hAnsi="Times New Roman" w:cs="Times New Roman"/>
          <w:color w:val="333333"/>
          <w:sz w:val="24"/>
          <w:szCs w:val="24"/>
        </w:rPr>
        <w:t xml:space="preserve">”  The </w:t>
      </w:r>
      <w:r w:rsidR="00465D55">
        <w:rPr>
          <w:rFonts w:ascii="Times New Roman" w:eastAsia="Times New Roman" w:hAnsi="Times New Roman" w:cs="Times New Roman"/>
          <w:color w:val="333333"/>
          <w:sz w:val="24"/>
          <w:szCs w:val="24"/>
        </w:rPr>
        <w:t xml:space="preserve">Court’s </w:t>
      </w:r>
      <w:r>
        <w:rPr>
          <w:rFonts w:ascii="Times New Roman" w:eastAsia="Times New Roman" w:hAnsi="Times New Roman" w:cs="Times New Roman"/>
          <w:color w:val="333333"/>
          <w:sz w:val="24"/>
          <w:szCs w:val="24"/>
        </w:rPr>
        <w:t xml:space="preserve">opinion contains a lengthy discussion of the procedure and the background of the procedure.  </w:t>
      </w:r>
    </w:p>
    <w:p w:rsidR="00367B37" w:rsidRDefault="00D87650" w:rsidP="00FD5DEB">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367B37">
        <w:rPr>
          <w:rFonts w:ascii="Times New Roman" w:eastAsia="Times New Roman" w:hAnsi="Times New Roman" w:cs="Times New Roman"/>
          <w:color w:val="333333"/>
          <w:sz w:val="24"/>
          <w:szCs w:val="24"/>
        </w:rPr>
        <w:t>The Court found:  “</w:t>
      </w:r>
      <w:r w:rsidR="00822522" w:rsidRPr="00822522">
        <w:rPr>
          <w:rFonts w:ascii="Times New Roman" w:eastAsia="Times New Roman" w:hAnsi="Times New Roman" w:cs="Times New Roman"/>
          <w:color w:val="333333"/>
          <w:sz w:val="24"/>
          <w:szCs w:val="24"/>
        </w:rPr>
        <w:t xml:space="preserve">To summarize, while artificial insemination involves the introduction of sperm to the female reproductive tract to encourage fertilization, IVF involves implanting a fertilized egg into a female; though each procedure aims for pregnancy, the procedures are distinct, and </w:t>
      </w:r>
      <w:r w:rsidR="00822522" w:rsidRPr="00822522">
        <w:rPr>
          <w:rFonts w:ascii="Times New Roman" w:eastAsia="Times New Roman" w:hAnsi="Times New Roman" w:cs="Times New Roman"/>
          <w:b/>
          <w:color w:val="333333"/>
          <w:sz w:val="24"/>
          <w:szCs w:val="24"/>
        </w:rPr>
        <w:t>we conclude that the term “artificial insemination” does not encompass IVF.</w:t>
      </w:r>
      <w:r w:rsidR="00367B37" w:rsidRPr="00367B37">
        <w:rPr>
          <w:rFonts w:ascii="Times New Roman" w:eastAsia="Times New Roman" w:hAnsi="Times New Roman" w:cs="Times New Roman"/>
          <w:b/>
          <w:color w:val="333333"/>
          <w:sz w:val="24"/>
          <w:szCs w:val="24"/>
        </w:rPr>
        <w:t>”</w:t>
      </w:r>
      <w:r w:rsidR="00367B37">
        <w:rPr>
          <w:rFonts w:ascii="Times New Roman" w:eastAsia="Times New Roman" w:hAnsi="Times New Roman" w:cs="Times New Roman"/>
          <w:color w:val="333333"/>
          <w:sz w:val="24"/>
          <w:szCs w:val="24"/>
        </w:rPr>
        <w:t xml:space="preserve">  The Court also listed several cases involving other </w:t>
      </w:r>
      <w:r w:rsidR="00822522" w:rsidRPr="00822522">
        <w:rPr>
          <w:rFonts w:ascii="Times New Roman" w:eastAsia="Times New Roman" w:hAnsi="Times New Roman" w:cs="Times New Roman"/>
          <w:color w:val="333333"/>
          <w:sz w:val="24"/>
          <w:szCs w:val="24"/>
        </w:rPr>
        <w:t xml:space="preserve">courts </w:t>
      </w:r>
      <w:r w:rsidR="00367B37">
        <w:rPr>
          <w:rFonts w:ascii="Times New Roman" w:eastAsia="Times New Roman" w:hAnsi="Times New Roman" w:cs="Times New Roman"/>
          <w:color w:val="333333"/>
          <w:sz w:val="24"/>
          <w:szCs w:val="24"/>
        </w:rPr>
        <w:t xml:space="preserve">in other states that </w:t>
      </w:r>
      <w:r w:rsidR="00822522" w:rsidRPr="00822522">
        <w:rPr>
          <w:rFonts w:ascii="Times New Roman" w:eastAsia="Times New Roman" w:hAnsi="Times New Roman" w:cs="Times New Roman"/>
          <w:color w:val="333333"/>
          <w:sz w:val="24"/>
          <w:szCs w:val="24"/>
        </w:rPr>
        <w:t xml:space="preserve">have reached this same </w:t>
      </w:r>
      <w:r w:rsidR="00367B37" w:rsidRPr="00822522">
        <w:rPr>
          <w:rFonts w:ascii="Times New Roman" w:eastAsia="Times New Roman" w:hAnsi="Times New Roman" w:cs="Times New Roman"/>
          <w:color w:val="333333"/>
          <w:sz w:val="24"/>
          <w:szCs w:val="24"/>
        </w:rPr>
        <w:t xml:space="preserve">conclusion. </w:t>
      </w:r>
    </w:p>
    <w:p w:rsidR="001357E1" w:rsidRDefault="00367B37"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The Supreme Court did not agree with the </w:t>
      </w:r>
      <w:r w:rsidR="00BD4811">
        <w:rPr>
          <w:rFonts w:ascii="Times New Roman" w:eastAsia="Times New Roman" w:hAnsi="Times New Roman" w:cs="Times New Roman"/>
          <w:color w:val="333333"/>
          <w:sz w:val="24"/>
          <w:szCs w:val="24"/>
        </w:rPr>
        <w:t>Appellee Mother</w:t>
      </w:r>
      <w:r w:rsidR="00822522" w:rsidRPr="00822522">
        <w:rPr>
          <w:rFonts w:ascii="Times New Roman" w:eastAsia="Times New Roman" w:hAnsi="Times New Roman" w:cs="Times New Roman"/>
          <w:color w:val="333333"/>
          <w:sz w:val="24"/>
          <w:szCs w:val="24"/>
        </w:rPr>
        <w:t>’s argument that such a plain-language construction of OCGA § 19-7-21 is unnecessarily restrictive. While Georgia law favors legitimation, OCGA § 19-7-21 creates an</w:t>
      </w:r>
      <w:r w:rsidR="00822522" w:rsidRPr="00822522">
        <w:rPr>
          <w:rFonts w:ascii="Times New Roman" w:eastAsia="Times New Roman" w:hAnsi="Times New Roman" w:cs="Times New Roman"/>
          <w:i/>
          <w:iCs/>
          <w:color w:val="333333"/>
          <w:sz w:val="24"/>
          <w:szCs w:val="24"/>
        </w:rPr>
        <w:t xml:space="preserve"> irrebuttable presumption, </w:t>
      </w:r>
      <w:r w:rsidR="00822522" w:rsidRPr="00822522">
        <w:rPr>
          <w:rFonts w:ascii="Times New Roman" w:eastAsia="Times New Roman" w:hAnsi="Times New Roman" w:cs="Times New Roman"/>
          <w:color w:val="333333"/>
          <w:sz w:val="24"/>
          <w:szCs w:val="24"/>
        </w:rPr>
        <w:t xml:space="preserve">which is generally disfavored </w:t>
      </w:r>
      <w:r w:rsidR="00822522" w:rsidRPr="00822522">
        <w:rPr>
          <w:rFonts w:ascii="Times New Roman" w:eastAsia="Times New Roman" w:hAnsi="Times New Roman" w:cs="Times New Roman"/>
          <w:color w:val="333333"/>
          <w:sz w:val="24"/>
          <w:szCs w:val="24"/>
        </w:rPr>
        <w:lastRenderedPageBreak/>
        <w:t>in the law</w:t>
      </w:r>
      <w:r>
        <w:rPr>
          <w:rFonts w:ascii="Times New Roman" w:eastAsia="Times New Roman" w:hAnsi="Times New Roman" w:cs="Times New Roman"/>
          <w:color w:val="333333"/>
          <w:sz w:val="24"/>
          <w:szCs w:val="24"/>
        </w:rPr>
        <w:t>.  “</w:t>
      </w:r>
      <w:r w:rsidR="00822522" w:rsidRPr="00822522">
        <w:rPr>
          <w:rFonts w:ascii="Times New Roman" w:eastAsia="Times New Roman" w:hAnsi="Times New Roman" w:cs="Times New Roman"/>
          <w:b/>
          <w:color w:val="333333"/>
          <w:sz w:val="24"/>
          <w:szCs w:val="24"/>
        </w:rPr>
        <w:t>Further, the irrebuttable presumption of legitimacy in OCGA § 19-7-21 is an exception to the general rule, found in § 19-7-20 (b), that legitimacy may be disputed</w:t>
      </w:r>
      <w:r w:rsidR="00822522" w:rsidRPr="00822522">
        <w:rPr>
          <w:rFonts w:ascii="Times New Roman" w:eastAsia="Times New Roman" w:hAnsi="Times New Roman" w:cs="Times New Roman"/>
          <w:color w:val="333333"/>
          <w:sz w:val="24"/>
          <w:szCs w:val="24"/>
        </w:rPr>
        <w:t>, and an expansive reading of OCGA § 19-7-21 would allow the exception to swallow the rule</w:t>
      </w:r>
      <w:r>
        <w:rPr>
          <w:rFonts w:ascii="Times New Roman" w:eastAsia="Times New Roman" w:hAnsi="Times New Roman" w:cs="Times New Roman"/>
          <w:color w:val="333333"/>
          <w:sz w:val="24"/>
          <w:szCs w:val="24"/>
        </w:rPr>
        <w:t>”</w:t>
      </w:r>
      <w:r w:rsidR="00822522" w:rsidRPr="0082252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3228FA">
        <w:rPr>
          <w:rFonts w:ascii="Times New Roman" w:eastAsia="Times New Roman" w:hAnsi="Times New Roman" w:cs="Times New Roman"/>
          <w:color w:val="333333"/>
          <w:sz w:val="24"/>
          <w:szCs w:val="24"/>
        </w:rPr>
        <w:t xml:space="preserve">The Supreme </w:t>
      </w:r>
      <w:r>
        <w:rPr>
          <w:rFonts w:ascii="Times New Roman" w:eastAsia="Times New Roman" w:hAnsi="Times New Roman" w:cs="Times New Roman"/>
          <w:color w:val="333333"/>
          <w:sz w:val="24"/>
          <w:szCs w:val="24"/>
        </w:rPr>
        <w:t xml:space="preserve">Court also disagreed with the </w:t>
      </w:r>
      <w:r w:rsidR="00BD4811">
        <w:rPr>
          <w:rFonts w:ascii="Times New Roman" w:eastAsia="Times New Roman" w:hAnsi="Times New Roman" w:cs="Times New Roman"/>
          <w:color w:val="333333"/>
          <w:sz w:val="24"/>
          <w:szCs w:val="24"/>
        </w:rPr>
        <w:t>Appellee Mother</w:t>
      </w:r>
      <w:r w:rsidR="00C00DDE">
        <w:rPr>
          <w:rFonts w:ascii="Times New Roman" w:eastAsia="Times New Roman" w:hAnsi="Times New Roman" w:cs="Times New Roman"/>
          <w:color w:val="333333"/>
          <w:sz w:val="24"/>
          <w:szCs w:val="24"/>
        </w:rPr>
        <w:t xml:space="preserve">’s argument </w:t>
      </w:r>
      <w:r w:rsidR="00822522" w:rsidRPr="00822522">
        <w:rPr>
          <w:rFonts w:ascii="Times New Roman" w:eastAsia="Times New Roman" w:hAnsi="Times New Roman" w:cs="Times New Roman"/>
          <w:color w:val="333333"/>
          <w:sz w:val="24"/>
          <w:szCs w:val="24"/>
        </w:rPr>
        <w:t>that when the General Assembly enacted OC</w:t>
      </w:r>
      <w:r w:rsidR="001357E1">
        <w:rPr>
          <w:rFonts w:ascii="Times New Roman" w:eastAsia="Times New Roman" w:hAnsi="Times New Roman" w:cs="Times New Roman"/>
          <w:color w:val="333333"/>
          <w:sz w:val="24"/>
          <w:szCs w:val="24"/>
        </w:rPr>
        <w:t xml:space="preserve">GA § 19-7-21 in 1964, that they </w:t>
      </w:r>
      <w:r w:rsidR="00822522" w:rsidRPr="00822522">
        <w:rPr>
          <w:rFonts w:ascii="Times New Roman" w:eastAsia="Times New Roman" w:hAnsi="Times New Roman" w:cs="Times New Roman"/>
          <w:color w:val="333333"/>
          <w:sz w:val="24"/>
          <w:szCs w:val="24"/>
        </w:rPr>
        <w:t>could not have conceived</w:t>
      </w:r>
      <w:r w:rsidR="003228FA">
        <w:rPr>
          <w:rFonts w:ascii="Times New Roman" w:eastAsia="Times New Roman" w:hAnsi="Times New Roman" w:cs="Times New Roman"/>
          <w:color w:val="333333"/>
          <w:sz w:val="24"/>
          <w:szCs w:val="24"/>
        </w:rPr>
        <w:t xml:space="preserve"> (was a pun intended here?)</w:t>
      </w:r>
      <w:r w:rsidR="00822522" w:rsidRPr="00822522">
        <w:rPr>
          <w:rFonts w:ascii="Times New Roman" w:eastAsia="Times New Roman" w:hAnsi="Times New Roman" w:cs="Times New Roman"/>
          <w:color w:val="333333"/>
          <w:sz w:val="24"/>
          <w:szCs w:val="24"/>
        </w:rPr>
        <w:t xml:space="preserve"> of the advent of IVF (and related medical advancements) and that a plain-language construction of OCGA § 19-7-21</w:t>
      </w:r>
      <w:r w:rsidR="00C00DDE">
        <w:rPr>
          <w:rFonts w:ascii="Times New Roman" w:eastAsia="Times New Roman" w:hAnsi="Times New Roman" w:cs="Times New Roman"/>
          <w:color w:val="333333"/>
          <w:sz w:val="24"/>
          <w:szCs w:val="24"/>
        </w:rPr>
        <w:t>, enacted over 50 years ago,</w:t>
      </w:r>
      <w:r w:rsidR="00822522" w:rsidRPr="00822522">
        <w:rPr>
          <w:rFonts w:ascii="Times New Roman" w:eastAsia="Times New Roman" w:hAnsi="Times New Roman" w:cs="Times New Roman"/>
          <w:color w:val="333333"/>
          <w:sz w:val="24"/>
          <w:szCs w:val="24"/>
        </w:rPr>
        <w:t xml:space="preserve"> is at odds with the plain purpose of the statute, which is to legitimate children born by means of reproductive technology. </w:t>
      </w:r>
    </w:p>
    <w:p w:rsidR="00C00DDE" w:rsidRDefault="00C00DDE" w:rsidP="001E2A32">
      <w:pPr>
        <w:spacing w:after="150" w:line="240" w:lineRule="auto"/>
        <w:jc w:val="both"/>
        <w:rPr>
          <w:rFonts w:ascii="Times New Roman" w:eastAsia="Times New Roman" w:hAnsi="Times New Roman" w:cs="Times New Roman"/>
          <w:color w:val="333333"/>
          <w:sz w:val="24"/>
          <w:szCs w:val="24"/>
          <w:vertAlign w:val="superscript"/>
        </w:rPr>
      </w:pPr>
      <w:r>
        <w:rPr>
          <w:rFonts w:ascii="Times New Roman" w:eastAsia="Times New Roman" w:hAnsi="Times New Roman" w:cs="Times New Roman"/>
          <w:color w:val="333333"/>
          <w:sz w:val="24"/>
          <w:szCs w:val="24"/>
        </w:rPr>
        <w:tab/>
      </w:r>
      <w:r w:rsidR="003228FA">
        <w:rPr>
          <w:rFonts w:ascii="Times New Roman" w:eastAsia="Times New Roman" w:hAnsi="Times New Roman" w:cs="Times New Roman"/>
          <w:color w:val="333333"/>
          <w:sz w:val="24"/>
          <w:szCs w:val="24"/>
        </w:rPr>
        <w:t>The General</w:t>
      </w:r>
      <w:r w:rsidR="00822522" w:rsidRPr="00822522">
        <w:rPr>
          <w:rFonts w:ascii="Times New Roman" w:eastAsia="Times New Roman" w:hAnsi="Times New Roman" w:cs="Times New Roman"/>
          <w:color w:val="333333"/>
          <w:sz w:val="24"/>
          <w:szCs w:val="24"/>
        </w:rPr>
        <w:t xml:space="preserve"> Assembly passed the “Domestic Relations – Guardian – Social Services – Options to Adoption Act,” which amended Chapter 8 of Title 19 to address, among other things, the custody, relinquishment, and adoption of embryos</w:t>
      </w:r>
      <w:r w:rsidR="00465D55">
        <w:rPr>
          <w:rFonts w:ascii="Times New Roman" w:eastAsia="Times New Roman" w:hAnsi="Times New Roman" w:cs="Times New Roman"/>
          <w:color w:val="333333"/>
          <w:sz w:val="24"/>
          <w:szCs w:val="24"/>
        </w:rPr>
        <w:t xml:space="preserve">. in </w:t>
      </w:r>
      <w:r w:rsidR="00822522" w:rsidRPr="00822522">
        <w:rPr>
          <w:rFonts w:ascii="Times New Roman" w:eastAsia="Times New Roman" w:hAnsi="Times New Roman" w:cs="Times New Roman"/>
          <w:b/>
          <w:color w:val="333333"/>
          <w:sz w:val="24"/>
          <w:szCs w:val="24"/>
        </w:rPr>
        <w:t>2009</w:t>
      </w:r>
      <w:r w:rsidR="00822522" w:rsidRPr="00822522">
        <w:rPr>
          <w:rFonts w:ascii="Times New Roman" w:eastAsia="Times New Roman" w:hAnsi="Times New Roman" w:cs="Times New Roman"/>
          <w:color w:val="333333"/>
          <w:sz w:val="24"/>
          <w:szCs w:val="24"/>
        </w:rPr>
        <w:t xml:space="preserve">, </w:t>
      </w:r>
      <w:r w:rsidR="00465D55">
        <w:rPr>
          <w:rFonts w:ascii="Times New Roman" w:eastAsia="Times New Roman" w:hAnsi="Times New Roman" w:cs="Times New Roman"/>
          <w:color w:val="333333"/>
          <w:sz w:val="24"/>
          <w:szCs w:val="24"/>
        </w:rPr>
        <w:t xml:space="preserve">(Ga L. </w:t>
      </w:r>
      <w:r w:rsidR="00822522" w:rsidRPr="00822522">
        <w:rPr>
          <w:rFonts w:ascii="Times New Roman" w:eastAsia="Times New Roman" w:hAnsi="Times New Roman" w:cs="Times New Roman"/>
          <w:color w:val="333333"/>
          <w:sz w:val="24"/>
          <w:szCs w:val="24"/>
        </w:rPr>
        <w:t>pp. 800</w:t>
      </w:r>
      <w:r w:rsidR="00465D55">
        <w:rPr>
          <w:rFonts w:ascii="Times New Roman" w:eastAsia="Times New Roman" w:hAnsi="Times New Roman" w:cs="Times New Roman"/>
          <w:color w:val="333333"/>
          <w:sz w:val="24"/>
          <w:szCs w:val="24"/>
        </w:rPr>
        <w:t>-</w:t>
      </w:r>
      <w:r w:rsidR="00822522" w:rsidRPr="00822522">
        <w:rPr>
          <w:rFonts w:ascii="Times New Roman" w:eastAsia="Times New Roman" w:hAnsi="Times New Roman" w:cs="Times New Roman"/>
          <w:color w:val="333333"/>
          <w:sz w:val="24"/>
          <w:szCs w:val="24"/>
        </w:rPr>
        <w:softHyphen/>
        <w:t>803</w:t>
      </w:r>
      <w:r w:rsidR="00465D55">
        <w:rPr>
          <w:rFonts w:ascii="Times New Roman" w:eastAsia="Times New Roman" w:hAnsi="Times New Roman" w:cs="Times New Roman"/>
          <w:color w:val="333333"/>
          <w:sz w:val="24"/>
          <w:szCs w:val="24"/>
        </w:rPr>
        <w:t>)</w:t>
      </w:r>
      <w:r w:rsidR="00822522" w:rsidRPr="00822522">
        <w:rPr>
          <w:rFonts w:ascii="Times New Roman" w:eastAsia="Times New Roman" w:hAnsi="Times New Roman" w:cs="Times New Roman"/>
          <w:color w:val="333333"/>
          <w:sz w:val="24"/>
          <w:szCs w:val="24"/>
        </w:rPr>
        <w:t xml:space="preserve">. </w:t>
      </w:r>
      <w:r w:rsidR="00822522" w:rsidRPr="00822522">
        <w:rPr>
          <w:rFonts w:ascii="Times New Roman" w:eastAsia="Times New Roman" w:hAnsi="Times New Roman" w:cs="Times New Roman"/>
          <w:b/>
          <w:color w:val="333333"/>
          <w:sz w:val="24"/>
          <w:szCs w:val="24"/>
        </w:rPr>
        <w:t>OCGA § 19-8-40, which was created by the 2009 Act, defines both embryo and</w:t>
      </w:r>
      <w:r w:rsidR="00822522" w:rsidRPr="00822522">
        <w:rPr>
          <w:rFonts w:ascii="Times New Roman" w:eastAsia="Times New Roman" w:hAnsi="Times New Roman" w:cs="Times New Roman"/>
          <w:b/>
          <w:i/>
          <w:iCs/>
          <w:color w:val="333333"/>
          <w:sz w:val="24"/>
          <w:szCs w:val="24"/>
        </w:rPr>
        <w:t xml:space="preserve"> embryo transfer,</w:t>
      </w:r>
      <w:r w:rsidR="00822522" w:rsidRPr="00822522">
        <w:rPr>
          <w:rFonts w:ascii="Times New Roman" w:eastAsia="Times New Roman" w:hAnsi="Times New Roman" w:cs="Times New Roman"/>
          <w:b/>
          <w:color w:val="333333"/>
          <w:sz w:val="24"/>
          <w:szCs w:val="24"/>
        </w:rPr>
        <w:t xml:space="preserve"> </w:t>
      </w:r>
      <w:r w:rsidR="00822522" w:rsidRPr="00822522">
        <w:rPr>
          <w:rFonts w:ascii="Times New Roman" w:eastAsia="Times New Roman" w:hAnsi="Times New Roman" w:cs="Times New Roman"/>
          <w:color w:val="333333"/>
          <w:sz w:val="24"/>
          <w:szCs w:val="24"/>
        </w:rPr>
        <w:t xml:space="preserve">which “means the medical procedure of physically placing an embryo into the uterus of a female.” OCGA § 19-8-40 (3). As discussed above, “embryo transfer” is a key component of IVF, and the language employed in the definition of “embryo transfer” tracks the standard definition of IVF. </w:t>
      </w:r>
    </w:p>
    <w:p w:rsidR="00C00DDE" w:rsidRDefault="00C00DDE" w:rsidP="003228FA">
      <w:pPr>
        <w:spacing w:after="150" w:line="240" w:lineRule="auto"/>
        <w:jc w:val="both"/>
        <w:rPr>
          <w:rFonts w:ascii="Times New Roman" w:eastAsia="Times New Roman" w:hAnsi="Times New Roman" w:cs="Times New Roman"/>
          <w:color w:val="333333"/>
          <w:sz w:val="24"/>
          <w:szCs w:val="24"/>
          <w:vertAlign w:val="superscript"/>
        </w:rPr>
      </w:pPr>
      <w:r>
        <w:rPr>
          <w:rFonts w:ascii="Times New Roman" w:eastAsia="Times New Roman" w:hAnsi="Times New Roman" w:cs="Times New Roman"/>
          <w:color w:val="333333"/>
          <w:sz w:val="24"/>
          <w:szCs w:val="24"/>
        </w:rPr>
        <w:tab/>
        <w:t>“</w:t>
      </w:r>
      <w:r w:rsidR="00822522" w:rsidRPr="00822522">
        <w:rPr>
          <w:rFonts w:ascii="Times New Roman" w:eastAsia="Times New Roman" w:hAnsi="Times New Roman" w:cs="Times New Roman"/>
          <w:color w:val="333333"/>
          <w:sz w:val="24"/>
          <w:szCs w:val="24"/>
        </w:rPr>
        <w:t xml:space="preserve">We presume that, when the General Assembly passed the 2009 Act, it “‘had full knowledge of the existing state of the law and enacted the [the Act] with reference to it.’” Thus, </w:t>
      </w:r>
      <w:r w:rsidR="00822522" w:rsidRPr="00822522">
        <w:rPr>
          <w:rFonts w:ascii="Times New Roman" w:eastAsia="Times New Roman" w:hAnsi="Times New Roman" w:cs="Times New Roman"/>
          <w:b/>
          <w:color w:val="333333"/>
          <w:sz w:val="24"/>
          <w:szCs w:val="24"/>
        </w:rPr>
        <w:t>as late as 2009, the General Assembly was aware of the existing language of OCGA § 19-7-21 and was familiar with advances in reproductive technology, yet chose to leave the statute unchanged. Accordingly, this is not a case in which the General Assembly has failed to anticipate scientific and medical advancements, but, instead, the General Assembly has chosen not to act; we must, therefore, presume that OCGA § 19-7-21 remains the will of the legislature</w:t>
      </w:r>
      <w:r w:rsidR="00822522" w:rsidRPr="00822522">
        <w:rPr>
          <w:rFonts w:ascii="Times New Roman" w:eastAsia="Times New Roman" w:hAnsi="Times New Roman" w:cs="Times New Roman"/>
          <w:color w:val="333333"/>
          <w:sz w:val="24"/>
          <w:szCs w:val="24"/>
        </w:rPr>
        <w:t>.</w:t>
      </w:r>
    </w:p>
    <w:p w:rsidR="003228FA" w:rsidRDefault="00C00DDE" w:rsidP="003228FA">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3228FA">
        <w:rPr>
          <w:rFonts w:ascii="Times New Roman" w:eastAsia="Times New Roman" w:hAnsi="Times New Roman" w:cs="Times New Roman"/>
          <w:b/>
          <w:color w:val="333333"/>
          <w:sz w:val="24"/>
          <w:szCs w:val="24"/>
        </w:rPr>
        <w:t>Thus, the Court reversed the j</w:t>
      </w:r>
      <w:r w:rsidR="00822522" w:rsidRPr="00822522">
        <w:rPr>
          <w:rFonts w:ascii="Times New Roman" w:eastAsia="Times New Roman" w:hAnsi="Times New Roman" w:cs="Times New Roman"/>
          <w:b/>
          <w:color w:val="333333"/>
          <w:sz w:val="24"/>
          <w:szCs w:val="24"/>
        </w:rPr>
        <w:t>udgment</w:t>
      </w:r>
      <w:r w:rsidRPr="003228FA">
        <w:rPr>
          <w:rFonts w:ascii="Times New Roman" w:eastAsia="Times New Roman" w:hAnsi="Times New Roman" w:cs="Times New Roman"/>
          <w:b/>
          <w:color w:val="333333"/>
          <w:sz w:val="24"/>
          <w:szCs w:val="24"/>
        </w:rPr>
        <w:t xml:space="preserve"> of the Superior Court</w:t>
      </w:r>
      <w:r>
        <w:rPr>
          <w:rFonts w:ascii="Times New Roman" w:eastAsia="Times New Roman" w:hAnsi="Times New Roman" w:cs="Times New Roman"/>
          <w:color w:val="333333"/>
          <w:sz w:val="24"/>
          <w:szCs w:val="24"/>
        </w:rPr>
        <w:t xml:space="preserve">, </w:t>
      </w:r>
      <w:r w:rsidR="00822522" w:rsidRPr="00822522">
        <w:rPr>
          <w:rFonts w:ascii="Times New Roman" w:eastAsia="Times New Roman" w:hAnsi="Times New Roman" w:cs="Times New Roman"/>
          <w:color w:val="333333"/>
          <w:sz w:val="24"/>
          <w:szCs w:val="24"/>
        </w:rPr>
        <w:t>Hines, C.J., Melton, P.J., Benham, Nahmias, Blackwell, Peterson, and Grant, JJ., concur</w:t>
      </w:r>
      <w:r>
        <w:rPr>
          <w:rFonts w:ascii="Times New Roman" w:eastAsia="Times New Roman" w:hAnsi="Times New Roman" w:cs="Times New Roman"/>
          <w:color w:val="333333"/>
          <w:sz w:val="24"/>
          <w:szCs w:val="24"/>
        </w:rPr>
        <w:t>red</w:t>
      </w:r>
      <w:r w:rsidR="003228FA">
        <w:rPr>
          <w:rFonts w:ascii="Times New Roman" w:eastAsia="Times New Roman" w:hAnsi="Times New Roman" w:cs="Times New Roman"/>
          <w:color w:val="333333"/>
          <w:sz w:val="24"/>
          <w:szCs w:val="24"/>
        </w:rPr>
        <w:t>. Justice Boggs did not participate.  J</w:t>
      </w:r>
      <w:r w:rsidR="00822522" w:rsidRPr="00822522">
        <w:rPr>
          <w:rFonts w:ascii="Times New Roman" w:eastAsia="Times New Roman" w:hAnsi="Times New Roman" w:cs="Times New Roman"/>
          <w:color w:val="333333"/>
          <w:sz w:val="24"/>
          <w:szCs w:val="24"/>
        </w:rPr>
        <w:t>udge Christopher J. McFadden dissent</w:t>
      </w:r>
      <w:r>
        <w:rPr>
          <w:rFonts w:ascii="Times New Roman" w:eastAsia="Times New Roman" w:hAnsi="Times New Roman" w:cs="Times New Roman"/>
          <w:color w:val="333333"/>
          <w:sz w:val="24"/>
          <w:szCs w:val="24"/>
        </w:rPr>
        <w:t>ed</w:t>
      </w:r>
      <w:r w:rsidR="003228FA">
        <w:rPr>
          <w:rFonts w:ascii="Times New Roman" w:eastAsia="Times New Roman" w:hAnsi="Times New Roman" w:cs="Times New Roman"/>
          <w:color w:val="333333"/>
          <w:sz w:val="24"/>
          <w:szCs w:val="24"/>
        </w:rPr>
        <w:t>.</w:t>
      </w:r>
    </w:p>
    <w:p w:rsidR="003228FA" w:rsidRDefault="00C00DDE"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1E2A32">
        <w:rPr>
          <w:rFonts w:ascii="Times New Roman" w:eastAsia="Times New Roman" w:hAnsi="Times New Roman" w:cs="Times New Roman"/>
          <w:b/>
          <w:color w:val="333333"/>
          <w:sz w:val="24"/>
          <w:szCs w:val="24"/>
        </w:rPr>
        <w:t xml:space="preserve">The dissent by </w:t>
      </w:r>
      <w:r w:rsidR="00822522" w:rsidRPr="00822522">
        <w:rPr>
          <w:rFonts w:ascii="Times New Roman" w:eastAsia="Times New Roman" w:hAnsi="Times New Roman" w:cs="Times New Roman"/>
          <w:b/>
          <w:color w:val="333333"/>
          <w:sz w:val="24"/>
          <w:szCs w:val="24"/>
        </w:rPr>
        <w:t>Presiding Judge</w:t>
      </w:r>
      <w:r w:rsidRPr="001E2A32">
        <w:rPr>
          <w:rFonts w:ascii="Times New Roman" w:eastAsia="Times New Roman" w:hAnsi="Times New Roman" w:cs="Times New Roman"/>
          <w:b/>
          <w:color w:val="333333"/>
          <w:sz w:val="24"/>
          <w:szCs w:val="24"/>
        </w:rPr>
        <w:t xml:space="preserve"> McFadden</w:t>
      </w:r>
      <w:r>
        <w:rPr>
          <w:rFonts w:ascii="Times New Roman" w:eastAsia="Times New Roman" w:hAnsi="Times New Roman" w:cs="Times New Roman"/>
          <w:color w:val="333333"/>
          <w:sz w:val="24"/>
          <w:szCs w:val="24"/>
        </w:rPr>
        <w:t>, is a great read</w:t>
      </w:r>
      <w:r w:rsidR="001E2A32">
        <w:rPr>
          <w:rFonts w:ascii="Times New Roman" w:eastAsia="Times New Roman" w:hAnsi="Times New Roman" w:cs="Times New Roman"/>
          <w:color w:val="333333"/>
          <w:sz w:val="24"/>
          <w:szCs w:val="24"/>
        </w:rPr>
        <w:t>, and is longer than the Opinion</w:t>
      </w:r>
      <w:r>
        <w:rPr>
          <w:rFonts w:ascii="Times New Roman" w:eastAsia="Times New Roman" w:hAnsi="Times New Roman" w:cs="Times New Roman"/>
          <w:color w:val="333333"/>
          <w:sz w:val="24"/>
          <w:szCs w:val="24"/>
        </w:rPr>
        <w:t xml:space="preserve">.  He </w:t>
      </w:r>
      <w:r w:rsidR="00822522" w:rsidRPr="00822522">
        <w:rPr>
          <w:rFonts w:ascii="Times New Roman" w:eastAsia="Times New Roman" w:hAnsi="Times New Roman" w:cs="Times New Roman"/>
          <w:color w:val="333333"/>
          <w:sz w:val="24"/>
          <w:szCs w:val="24"/>
        </w:rPr>
        <w:t>dissent</w:t>
      </w:r>
      <w:r>
        <w:rPr>
          <w:rFonts w:ascii="Times New Roman" w:eastAsia="Times New Roman" w:hAnsi="Times New Roman" w:cs="Times New Roman"/>
          <w:color w:val="333333"/>
          <w:sz w:val="24"/>
          <w:szCs w:val="24"/>
        </w:rPr>
        <w:t xml:space="preserve">ed, </w:t>
      </w:r>
      <w:r w:rsidR="001E2A32">
        <w:rPr>
          <w:rFonts w:ascii="Times New Roman" w:eastAsia="Times New Roman" w:hAnsi="Times New Roman" w:cs="Times New Roman"/>
          <w:color w:val="333333"/>
          <w:sz w:val="24"/>
          <w:szCs w:val="24"/>
        </w:rPr>
        <w:t xml:space="preserve">and gave a </w:t>
      </w:r>
      <w:r w:rsidR="001E2A32" w:rsidRPr="001E2A32">
        <w:rPr>
          <w:rFonts w:ascii="Times New Roman" w:eastAsia="Times New Roman" w:hAnsi="Times New Roman" w:cs="Times New Roman"/>
          <w:b/>
          <w:color w:val="333333"/>
          <w:sz w:val="24"/>
          <w:szCs w:val="24"/>
        </w:rPr>
        <w:t>great explanation of the Mischief Rule</w:t>
      </w:r>
      <w:r w:rsidR="003228FA">
        <w:rPr>
          <w:rFonts w:ascii="Times New Roman" w:eastAsia="Times New Roman" w:hAnsi="Times New Roman" w:cs="Times New Roman"/>
          <w:b/>
          <w:color w:val="333333"/>
          <w:sz w:val="24"/>
          <w:szCs w:val="24"/>
        </w:rPr>
        <w:t xml:space="preserve">. </w:t>
      </w:r>
      <w:r w:rsidR="003228FA" w:rsidRPr="003228FA">
        <w:rPr>
          <w:rFonts w:ascii="Times New Roman" w:eastAsia="Times New Roman" w:hAnsi="Times New Roman" w:cs="Times New Roman"/>
          <w:color w:val="333333"/>
          <w:sz w:val="24"/>
          <w:szCs w:val="24"/>
        </w:rPr>
        <w:t>(</w:t>
      </w:r>
      <w:r w:rsidR="003228FA">
        <w:rPr>
          <w:rFonts w:ascii="Times New Roman" w:eastAsia="Times New Roman" w:hAnsi="Times New Roman" w:cs="Times New Roman"/>
          <w:color w:val="333333"/>
          <w:sz w:val="24"/>
          <w:szCs w:val="24"/>
        </w:rPr>
        <w:t>The following paragraphs are excerpts from the dissent.)</w:t>
      </w:r>
    </w:p>
    <w:p w:rsidR="003228FA" w:rsidRDefault="001E2A32" w:rsidP="001E2A32">
      <w:pPr>
        <w:spacing w:after="150" w:line="240" w:lineRule="auto"/>
        <w:jc w:val="both"/>
        <w:rPr>
          <w:rFonts w:ascii="Times New Roman" w:eastAsia="Times New Roman" w:hAnsi="Times New Roman" w:cs="Times New Roman"/>
          <w:i/>
          <w:iCs/>
          <w:color w:val="333333"/>
          <w:sz w:val="24"/>
          <w:szCs w:val="24"/>
        </w:rPr>
      </w:pPr>
      <w:r>
        <w:rPr>
          <w:rFonts w:ascii="Times New Roman" w:eastAsia="Times New Roman" w:hAnsi="Times New Roman" w:cs="Times New Roman"/>
          <w:color w:val="333333"/>
          <w:sz w:val="24"/>
          <w:szCs w:val="24"/>
        </w:rPr>
        <w:tab/>
      </w:r>
      <w:r w:rsidR="00822522" w:rsidRPr="00822522">
        <w:rPr>
          <w:rFonts w:ascii="Times New Roman" w:eastAsia="Times New Roman" w:hAnsi="Times New Roman" w:cs="Times New Roman"/>
          <w:color w:val="333333"/>
          <w:sz w:val="24"/>
          <w:szCs w:val="24"/>
        </w:rPr>
        <w:t>OCGA § 19-7-21 contains a latent ambiguity. The ambiguity arose because the General Assembly failed to anticipate subsequent advances in medical technology when it described the class of children under the statute’s protection</w:t>
      </w:r>
      <w:r w:rsidR="00C00DDE">
        <w:rPr>
          <w:rFonts w:ascii="Times New Roman" w:eastAsia="Times New Roman" w:hAnsi="Times New Roman" w:cs="Times New Roman"/>
          <w:color w:val="333333"/>
          <w:sz w:val="24"/>
          <w:szCs w:val="24"/>
        </w:rPr>
        <w:t>”</w:t>
      </w:r>
      <w:r w:rsidR="00822522" w:rsidRPr="00822522">
        <w:rPr>
          <w:rFonts w:ascii="Times New Roman" w:eastAsia="Times New Roman" w:hAnsi="Times New Roman" w:cs="Times New Roman"/>
          <w:color w:val="333333"/>
          <w:sz w:val="24"/>
          <w:szCs w:val="24"/>
        </w:rPr>
        <w:t xml:space="preserve">. In resolving that </w:t>
      </w:r>
      <w:r w:rsidRPr="00822522">
        <w:rPr>
          <w:rFonts w:ascii="Times New Roman" w:eastAsia="Times New Roman" w:hAnsi="Times New Roman" w:cs="Times New Roman"/>
          <w:color w:val="333333"/>
          <w:sz w:val="24"/>
          <w:szCs w:val="24"/>
        </w:rPr>
        <w:t>ambiguity,</w:t>
      </w:r>
      <w:r w:rsidR="00822522" w:rsidRPr="00822522">
        <w:rPr>
          <w:rFonts w:ascii="Times New Roman" w:eastAsia="Times New Roman" w:hAnsi="Times New Roman" w:cs="Times New Roman"/>
          <w:color w:val="333333"/>
          <w:sz w:val="24"/>
          <w:szCs w:val="24"/>
        </w:rPr>
        <w:t xml:space="preserve"> we are required to apply a rule that is in our current Code, was in our first Code, can be traced back to Blackstone’s Commentaries on the Law of England, and so was part of the “common law and statutes of England in force prior to May 14, 1776 [that, in 1784,] were adopted in this [s]tate by statute.”</w:t>
      </w:r>
      <w:r w:rsidR="00822522" w:rsidRPr="00822522">
        <w:rPr>
          <w:rFonts w:ascii="Times New Roman" w:eastAsia="Times New Roman" w:hAnsi="Times New Roman" w:cs="Times New Roman"/>
          <w:i/>
          <w:iCs/>
          <w:color w:val="333333"/>
          <w:sz w:val="24"/>
          <w:szCs w:val="24"/>
        </w:rPr>
        <w:t xml:space="preserve"> </w:t>
      </w:r>
      <w:r>
        <w:rPr>
          <w:rFonts w:ascii="Times New Roman" w:eastAsia="Times New Roman" w:hAnsi="Times New Roman" w:cs="Times New Roman"/>
          <w:i/>
          <w:iCs/>
          <w:color w:val="333333"/>
          <w:sz w:val="24"/>
          <w:szCs w:val="24"/>
        </w:rPr>
        <w:tab/>
      </w:r>
    </w:p>
    <w:p w:rsidR="00C00DDE" w:rsidRPr="001E2A32" w:rsidRDefault="003228FA" w:rsidP="001E2A32">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ab/>
      </w:r>
      <w:r w:rsidRPr="001E2A32">
        <w:rPr>
          <w:rFonts w:ascii="Times New Roman" w:eastAsia="Times New Roman" w:hAnsi="Times New Roman" w:cs="Times New Roman"/>
          <w:iCs/>
          <w:color w:val="333333"/>
          <w:sz w:val="24"/>
          <w:szCs w:val="24"/>
        </w:rPr>
        <w:t>O</w:t>
      </w:r>
      <w:r>
        <w:rPr>
          <w:rFonts w:ascii="Times New Roman" w:eastAsia="Times New Roman" w:hAnsi="Times New Roman" w:cs="Times New Roman"/>
          <w:color w:val="333333"/>
          <w:sz w:val="24"/>
          <w:szCs w:val="24"/>
        </w:rPr>
        <w:t xml:space="preserve">ften </w:t>
      </w:r>
      <w:r w:rsidRPr="00822522">
        <w:rPr>
          <w:rFonts w:ascii="Times New Roman" w:eastAsia="Times New Roman" w:hAnsi="Times New Roman" w:cs="Times New Roman"/>
          <w:color w:val="333333"/>
          <w:sz w:val="24"/>
          <w:szCs w:val="24"/>
        </w:rPr>
        <w:t>called</w:t>
      </w:r>
      <w:r w:rsidR="00822522" w:rsidRPr="00822522">
        <w:rPr>
          <w:rFonts w:ascii="Times New Roman" w:eastAsia="Times New Roman" w:hAnsi="Times New Roman" w:cs="Times New Roman"/>
          <w:color w:val="333333"/>
          <w:sz w:val="24"/>
          <w:szCs w:val="24"/>
        </w:rPr>
        <w:t xml:space="preserve"> the “mischief rule,” as Blackstone’s Commentaries refer to “the old law, the mischief, and the remedy,” </w:t>
      </w:r>
      <w:r w:rsidR="00822522" w:rsidRPr="00822522">
        <w:rPr>
          <w:rFonts w:ascii="Times New Roman" w:eastAsia="Times New Roman" w:hAnsi="Times New Roman" w:cs="Times New Roman"/>
          <w:b/>
          <w:color w:val="333333"/>
          <w:sz w:val="24"/>
          <w:szCs w:val="24"/>
        </w:rPr>
        <w:t>that rule is now codified at OCGA § 1-3-1 (a): “In all interpretations of statutes, the courts shall look diligently for the intention of the General Assembly, keeping in view at all times the old</w:t>
      </w:r>
      <w:r w:rsidR="001E2A32">
        <w:rPr>
          <w:rFonts w:ascii="Times New Roman" w:eastAsia="Times New Roman" w:hAnsi="Times New Roman" w:cs="Times New Roman"/>
          <w:b/>
          <w:color w:val="333333"/>
          <w:sz w:val="24"/>
          <w:szCs w:val="24"/>
        </w:rPr>
        <w:t xml:space="preserve"> law, the evil, and the remedy.”</w:t>
      </w:r>
      <w:r>
        <w:rPr>
          <w:rFonts w:ascii="Times New Roman" w:eastAsia="Times New Roman" w:hAnsi="Times New Roman" w:cs="Times New Roman"/>
          <w:b/>
          <w:color w:val="333333"/>
          <w:sz w:val="24"/>
          <w:szCs w:val="24"/>
        </w:rPr>
        <w:t xml:space="preserve">  </w:t>
      </w:r>
      <w:r w:rsidR="00822522" w:rsidRPr="00822522">
        <w:rPr>
          <w:rFonts w:ascii="Times New Roman" w:eastAsia="Times New Roman" w:hAnsi="Times New Roman" w:cs="Times New Roman"/>
          <w:b/>
          <w:color w:val="333333"/>
          <w:sz w:val="24"/>
          <w:szCs w:val="24"/>
        </w:rPr>
        <w:t>That rule directs us to the conclusion that the intention of the General Assembly was to protect children like S., the child in this case. So I respectfully dissent</w:t>
      </w:r>
      <w:r w:rsidR="00C00DDE">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rPr>
        <w:t>”</w:t>
      </w:r>
    </w:p>
    <w:p w:rsidR="00C00DDE" w:rsidRDefault="00822522" w:rsidP="00EB5494">
      <w:pPr>
        <w:spacing w:after="150" w:line="240" w:lineRule="auto"/>
        <w:jc w:val="both"/>
        <w:rPr>
          <w:rFonts w:ascii="Times New Roman" w:eastAsia="Times New Roman" w:hAnsi="Times New Roman" w:cs="Times New Roman"/>
          <w:color w:val="333333"/>
          <w:sz w:val="24"/>
          <w:szCs w:val="24"/>
        </w:rPr>
      </w:pPr>
      <w:r w:rsidRPr="00822522">
        <w:rPr>
          <w:rFonts w:ascii="Times New Roman" w:eastAsia="Times New Roman" w:hAnsi="Times New Roman" w:cs="Times New Roman"/>
          <w:b/>
          <w:color w:val="333333"/>
          <w:sz w:val="24"/>
          <w:szCs w:val="24"/>
        </w:rPr>
        <w:br/>
      </w:r>
      <w:r w:rsidR="003228FA">
        <w:rPr>
          <w:rFonts w:ascii="Times New Roman" w:eastAsia="Times New Roman" w:hAnsi="Times New Roman" w:cs="Times New Roman"/>
          <w:color w:val="333333"/>
          <w:sz w:val="24"/>
          <w:szCs w:val="24"/>
        </w:rPr>
        <w:tab/>
        <w:t>“</w:t>
      </w:r>
      <w:r w:rsidRPr="00822522">
        <w:rPr>
          <w:rFonts w:ascii="Times New Roman" w:eastAsia="Times New Roman" w:hAnsi="Times New Roman" w:cs="Times New Roman"/>
          <w:color w:val="333333"/>
          <w:sz w:val="24"/>
          <w:szCs w:val="24"/>
        </w:rPr>
        <w:t xml:space="preserve">Turning to the statute before us, OCGA § 19-7-21, it was enacted in 1964. In </w:t>
      </w:r>
      <w:r w:rsidRPr="00822522">
        <w:rPr>
          <w:rFonts w:ascii="Times New Roman" w:eastAsia="Times New Roman" w:hAnsi="Times New Roman" w:cs="Times New Roman"/>
          <w:color w:val="333333"/>
          <w:sz w:val="24"/>
          <w:szCs w:val="24"/>
        </w:rPr>
        <w:lastRenderedPageBreak/>
        <w:t xml:space="preserve">distinguishing the children who are under its protection from children who are not, it references only children conceived of artificial insemination, which is a type of assisted reproductive technology. Id. S. was conceived by means of in vitro fertilization, another type of assisted reproductive technology that was not developed until a decade later. </w:t>
      </w:r>
      <w:r w:rsidR="00EB5494">
        <w:rPr>
          <w:rFonts w:ascii="Times New Roman" w:eastAsia="Times New Roman" w:hAnsi="Times New Roman" w:cs="Times New Roman"/>
          <w:color w:val="333333"/>
          <w:sz w:val="24"/>
          <w:szCs w:val="24"/>
        </w:rPr>
        <w:t xml:space="preserve"> </w:t>
      </w:r>
      <w:r w:rsidRPr="00822522">
        <w:rPr>
          <w:rFonts w:ascii="Times New Roman" w:eastAsia="Times New Roman" w:hAnsi="Times New Roman" w:cs="Times New Roman"/>
          <w:b/>
          <w:color w:val="333333"/>
          <w:sz w:val="24"/>
          <w:szCs w:val="24"/>
        </w:rPr>
        <w:t>The statute therefore contains a latent ambiguity: into which category does a child like S. fall? Is a child like S. under the statute’s protection or not? The statute must be construed to resolve that latent ambiguity.</w:t>
      </w:r>
      <w:r w:rsidRPr="00822522">
        <w:rPr>
          <w:rFonts w:ascii="Times New Roman" w:eastAsia="Times New Roman" w:hAnsi="Times New Roman" w:cs="Times New Roman"/>
          <w:color w:val="333333"/>
          <w:sz w:val="24"/>
          <w:szCs w:val="24"/>
        </w:rPr>
        <w:br/>
      </w:r>
    </w:p>
    <w:p w:rsidR="001E2A32" w:rsidRDefault="00C00DDE" w:rsidP="00EB5494">
      <w:pPr>
        <w:tabs>
          <w:tab w:val="left" w:pos="0"/>
        </w:tabs>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822522" w:rsidRPr="00822522">
        <w:rPr>
          <w:rFonts w:ascii="Times New Roman" w:eastAsia="Times New Roman" w:hAnsi="Times New Roman" w:cs="Times New Roman"/>
          <w:color w:val="333333"/>
          <w:sz w:val="24"/>
          <w:szCs w:val="24"/>
        </w:rPr>
        <w:t>OCGA § 1-3-1 directs us to perform two distinct inquiries. Subsection (a), as noted above, is our codification of the mischief rule; it directs us to find the intention of the General Assembly by examining “the old law, the evil, and the remedy.” Subsection (b) directs our attention to the text, the words in the statute</w:t>
      </w:r>
      <w:r w:rsidR="001E2A32">
        <w:rPr>
          <w:rFonts w:ascii="Times New Roman" w:eastAsia="Times New Roman" w:hAnsi="Times New Roman" w:cs="Times New Roman"/>
          <w:color w:val="333333"/>
          <w:sz w:val="24"/>
          <w:szCs w:val="24"/>
        </w:rPr>
        <w:t>….</w:t>
      </w:r>
    </w:p>
    <w:p w:rsidR="001E2A32" w:rsidRDefault="00822522" w:rsidP="003228FA">
      <w:pPr>
        <w:tabs>
          <w:tab w:val="left" w:pos="0"/>
        </w:tabs>
        <w:spacing w:after="150" w:line="240" w:lineRule="auto"/>
        <w:jc w:val="both"/>
        <w:rPr>
          <w:rFonts w:ascii="Times New Roman" w:eastAsia="Times New Roman" w:hAnsi="Times New Roman" w:cs="Times New Roman"/>
          <w:color w:val="333333"/>
          <w:sz w:val="24"/>
          <w:szCs w:val="24"/>
        </w:rPr>
      </w:pPr>
      <w:r w:rsidRPr="00822522">
        <w:rPr>
          <w:rFonts w:ascii="Times New Roman" w:eastAsia="Times New Roman" w:hAnsi="Times New Roman" w:cs="Times New Roman"/>
          <w:color w:val="333333"/>
          <w:sz w:val="24"/>
          <w:szCs w:val="24"/>
        </w:rPr>
        <w:br/>
      </w:r>
      <w:r w:rsidR="001E2A32">
        <w:rPr>
          <w:rFonts w:ascii="Times New Roman" w:eastAsia="Times New Roman" w:hAnsi="Times New Roman" w:cs="Times New Roman"/>
          <w:color w:val="333333"/>
          <w:sz w:val="24"/>
          <w:szCs w:val="24"/>
        </w:rPr>
        <w:tab/>
      </w:r>
      <w:r w:rsidRPr="00822522">
        <w:rPr>
          <w:rFonts w:ascii="Times New Roman" w:eastAsia="Times New Roman" w:hAnsi="Times New Roman" w:cs="Times New Roman"/>
          <w:color w:val="333333"/>
          <w:sz w:val="24"/>
          <w:szCs w:val="24"/>
        </w:rPr>
        <w:t xml:space="preserve">Westlaw searches indicate that OCGA § 1-3-1 (a), OCGA § 13-2-3, or the principle set out in those Code sections have been cited hundreds, if not thousands, of times by this Court and by our Court of Appeals. </w:t>
      </w:r>
      <w:r w:rsidRPr="00822522">
        <w:rPr>
          <w:rFonts w:ascii="Times New Roman" w:eastAsia="Times New Roman" w:hAnsi="Times New Roman" w:cs="Times New Roman"/>
          <w:b/>
          <w:color w:val="333333"/>
          <w:sz w:val="24"/>
          <w:szCs w:val="24"/>
        </w:rPr>
        <w:t>Very often the authority cited for the mischief rule is case law rather than statutes. See, e.g.,</w:t>
      </w:r>
      <w:r w:rsidRPr="00822522">
        <w:rPr>
          <w:rFonts w:ascii="Times New Roman" w:eastAsia="Times New Roman" w:hAnsi="Times New Roman" w:cs="Times New Roman"/>
          <w:b/>
          <w:i/>
          <w:iCs/>
          <w:color w:val="333333"/>
          <w:sz w:val="24"/>
          <w:szCs w:val="24"/>
        </w:rPr>
        <w:t xml:space="preserve"> Cox v. Fowler,</w:t>
      </w:r>
      <w:r w:rsidRPr="00822522">
        <w:rPr>
          <w:rFonts w:ascii="Times New Roman" w:eastAsia="Times New Roman" w:hAnsi="Times New Roman" w:cs="Times New Roman"/>
          <w:b/>
          <w:color w:val="333333"/>
          <w:sz w:val="24"/>
          <w:szCs w:val="24"/>
        </w:rPr>
        <w:t xml:space="preserve"> 279 Ga. 501, 502 (614 SE2d 59) (2005) for the proposition that “[t]he cardinal rule in construing a legislative act, is to ascertain the legislative intent and purpose in enacting the law, and then to give it that construction which will effectuate the legislative intent and purpose</w:t>
      </w:r>
      <w:r w:rsidRPr="00822522">
        <w:rPr>
          <w:rFonts w:ascii="Times New Roman" w:eastAsia="Times New Roman" w:hAnsi="Times New Roman" w:cs="Times New Roman"/>
          <w:color w:val="333333"/>
          <w:sz w:val="24"/>
          <w:szCs w:val="24"/>
        </w:rPr>
        <w:t xml:space="preserve"> proposition that in interpreting legislative acts, “the courts shall look diligently for the intention of the General Assembly keeping in view at all times the old law, the evil and the remedy”).</w:t>
      </w:r>
    </w:p>
    <w:p w:rsidR="00822522" w:rsidRPr="00822522" w:rsidRDefault="001E2A32" w:rsidP="003228FA">
      <w:pPr>
        <w:tabs>
          <w:tab w:val="left" w:pos="0"/>
        </w:tabs>
        <w:spacing w:after="15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ab/>
        <w:t xml:space="preserve">Judge McFadden further wrote:  </w:t>
      </w:r>
      <w:r w:rsidR="003228FA">
        <w:rPr>
          <w:rFonts w:ascii="Times New Roman" w:eastAsia="Times New Roman" w:hAnsi="Times New Roman" w:cs="Times New Roman"/>
          <w:color w:val="333333"/>
          <w:sz w:val="24"/>
          <w:szCs w:val="24"/>
        </w:rPr>
        <w:t>“</w:t>
      </w:r>
      <w:r w:rsidR="00822522" w:rsidRPr="00822522">
        <w:rPr>
          <w:rFonts w:ascii="Times New Roman" w:eastAsia="Times New Roman" w:hAnsi="Times New Roman" w:cs="Times New Roman"/>
          <w:color w:val="333333"/>
          <w:sz w:val="24"/>
          <w:szCs w:val="24"/>
        </w:rPr>
        <w:t>The only fair reading of OCGA § 1-3-1 (a) is that it is a codification of the mischief rule.</w:t>
      </w:r>
      <w:r w:rsidR="003228FA">
        <w:rPr>
          <w:rFonts w:ascii="Times New Roman" w:eastAsia="Times New Roman" w:hAnsi="Times New Roman" w:cs="Times New Roman"/>
          <w:color w:val="333333"/>
          <w:sz w:val="24"/>
          <w:szCs w:val="24"/>
        </w:rPr>
        <w:t xml:space="preserve">  </w:t>
      </w:r>
      <w:r w:rsidR="00822522" w:rsidRPr="00822522">
        <w:rPr>
          <w:rFonts w:ascii="Times New Roman" w:eastAsia="Times New Roman" w:hAnsi="Times New Roman" w:cs="Times New Roman"/>
          <w:color w:val="333333"/>
          <w:sz w:val="24"/>
          <w:szCs w:val="24"/>
        </w:rPr>
        <w:t>The only fair reading of</w:t>
      </w:r>
      <w:r w:rsidR="00822522" w:rsidRPr="00822522">
        <w:rPr>
          <w:rFonts w:ascii="Times New Roman" w:eastAsia="Times New Roman" w:hAnsi="Times New Roman" w:cs="Times New Roman"/>
          <w:i/>
          <w:iCs/>
          <w:color w:val="333333"/>
          <w:sz w:val="24"/>
          <w:szCs w:val="24"/>
        </w:rPr>
        <w:t xml:space="preserve"> Gibson</w:t>
      </w:r>
      <w:r w:rsidR="00822522" w:rsidRPr="00822522">
        <w:rPr>
          <w:rFonts w:ascii="Times New Roman" w:eastAsia="Times New Roman" w:hAnsi="Times New Roman" w:cs="Times New Roman"/>
          <w:color w:val="333333"/>
          <w:sz w:val="24"/>
          <w:szCs w:val="24"/>
        </w:rPr>
        <w:t xml:space="preserve"> and the similar cases it cites is that the mischief rule has been quietly excised from our law, that we no longer inquire into “the old law, the evil, and the remedy,” and that while OCGA § 1-3-1 (a) is still on the books, it is a dead letter. That is not how we should operate. </w:t>
      </w:r>
      <w:r w:rsidR="00822522" w:rsidRPr="00822522">
        <w:rPr>
          <w:rFonts w:ascii="Times New Roman" w:eastAsia="Times New Roman" w:hAnsi="Times New Roman" w:cs="Times New Roman"/>
          <w:b/>
          <w:color w:val="333333"/>
          <w:sz w:val="24"/>
          <w:szCs w:val="24"/>
        </w:rPr>
        <w:t>We should either strike down OCGA § 1-3-1 (a), as well as the statutes that enforce the intent of parties to a contact, and let fall all that must fall with them — or we should faithfully administer them.</w:t>
      </w:r>
      <w:r w:rsidR="00822522" w:rsidRPr="00822522">
        <w:rPr>
          <w:rFonts w:ascii="Times New Roman" w:eastAsia="Times New Roman" w:hAnsi="Times New Roman" w:cs="Times New Roman"/>
          <w:b/>
          <w:color w:val="333333"/>
          <w:sz w:val="24"/>
          <w:szCs w:val="24"/>
        </w:rPr>
        <w:br/>
        <w:t>I would faithfully administer them — albeit with the perils and temptations of such analysis firmly in mind. Administering OCGA § 1-3-1 (a) here requires us to construe OCGA § 19-7-21 so that S. comes under its protection. So I would affirm</w:t>
      </w:r>
      <w:r w:rsidR="003228FA">
        <w:rPr>
          <w:rFonts w:ascii="Times New Roman" w:eastAsia="Times New Roman" w:hAnsi="Times New Roman" w:cs="Times New Roman"/>
          <w:b/>
          <w:color w:val="333333"/>
          <w:sz w:val="24"/>
          <w:szCs w:val="24"/>
        </w:rPr>
        <w:t>”</w:t>
      </w:r>
      <w:r w:rsidR="00822522" w:rsidRPr="00822522">
        <w:rPr>
          <w:rFonts w:ascii="Times New Roman" w:eastAsia="Times New Roman" w:hAnsi="Times New Roman" w:cs="Times New Roman"/>
          <w:b/>
          <w:color w:val="333333"/>
          <w:sz w:val="24"/>
          <w:szCs w:val="24"/>
        </w:rPr>
        <w:t>.</w:t>
      </w:r>
      <w:r w:rsidR="003228FA">
        <w:rPr>
          <w:rFonts w:ascii="Times New Roman" w:eastAsia="Times New Roman" w:hAnsi="Times New Roman" w:cs="Times New Roman"/>
          <w:b/>
          <w:color w:val="333333"/>
          <w:sz w:val="24"/>
          <w:szCs w:val="24"/>
        </w:rPr>
        <w:t xml:space="preserve">  </w:t>
      </w:r>
      <w:r w:rsidR="003228FA">
        <w:rPr>
          <w:rFonts w:ascii="Times New Roman" w:eastAsia="Times New Roman" w:hAnsi="Times New Roman" w:cs="Times New Roman"/>
          <w:color w:val="333333"/>
          <w:sz w:val="24"/>
          <w:szCs w:val="24"/>
        </w:rPr>
        <w:t xml:space="preserve">See </w:t>
      </w:r>
      <w:r w:rsidR="003228FA" w:rsidRPr="00822522">
        <w:rPr>
          <w:rFonts w:ascii="Times New Roman" w:eastAsia="Times New Roman" w:hAnsi="Times New Roman" w:cs="Times New Roman"/>
          <w:i/>
          <w:iCs/>
          <w:color w:val="333333"/>
          <w:sz w:val="24"/>
          <w:szCs w:val="24"/>
          <w:u w:val="single"/>
        </w:rPr>
        <w:t>Gibson v. Gibson</w:t>
      </w:r>
      <w:r w:rsidR="003228FA" w:rsidRPr="00822522">
        <w:rPr>
          <w:rFonts w:ascii="Times New Roman" w:eastAsia="Times New Roman" w:hAnsi="Times New Roman" w:cs="Times New Roman"/>
          <w:i/>
          <w:iCs/>
          <w:color w:val="333333"/>
          <w:sz w:val="24"/>
          <w:szCs w:val="24"/>
        </w:rPr>
        <w:t>,</w:t>
      </w:r>
      <w:r w:rsidR="003228FA" w:rsidRPr="00822522">
        <w:rPr>
          <w:rFonts w:ascii="Times New Roman" w:eastAsia="Times New Roman" w:hAnsi="Times New Roman" w:cs="Times New Roman"/>
          <w:color w:val="333333"/>
          <w:sz w:val="24"/>
          <w:szCs w:val="24"/>
        </w:rPr>
        <w:t xml:space="preserve"> 301 Ga. 622, 631-632 (3) (c) (801 SE2d 40) (2017) (footnote omitted)</w:t>
      </w:r>
      <w:r w:rsidR="003228FA">
        <w:rPr>
          <w:rFonts w:ascii="Times New Roman" w:eastAsia="Times New Roman" w:hAnsi="Times New Roman" w:cs="Times New Roman"/>
          <w:color w:val="333333"/>
          <w:sz w:val="24"/>
          <w:szCs w:val="24"/>
        </w:rPr>
        <w:t>.</w:t>
      </w:r>
    </w:p>
    <w:p w:rsidR="00152109" w:rsidRPr="00BD4811" w:rsidRDefault="003228FA" w:rsidP="00BD4811">
      <w:pPr>
        <w:spacing w:line="240" w:lineRule="auto"/>
        <w:rPr>
          <w:rFonts w:ascii="Times New Roman" w:hAnsi="Times New Roman" w:cs="Times New Roman"/>
          <w:sz w:val="24"/>
          <w:szCs w:val="24"/>
        </w:rPr>
      </w:pPr>
      <w:r>
        <w:rPr>
          <w:rFonts w:ascii="Times New Roman" w:hAnsi="Times New Roman" w:cs="Times New Roman"/>
          <w:sz w:val="24"/>
          <w:szCs w:val="24"/>
        </w:rPr>
        <w:t>(all emphasis supplied.)</w:t>
      </w:r>
    </w:p>
    <w:sectPr w:rsidR="00152109" w:rsidRPr="00BD48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75" w:rsidRDefault="002B3275" w:rsidP="00EB5494">
      <w:pPr>
        <w:spacing w:after="0" w:line="240" w:lineRule="auto"/>
      </w:pPr>
      <w:r>
        <w:separator/>
      </w:r>
    </w:p>
  </w:endnote>
  <w:endnote w:type="continuationSeparator" w:id="0">
    <w:p w:rsidR="002B3275" w:rsidRDefault="002B3275" w:rsidP="00EB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33267"/>
      <w:docPartObj>
        <w:docPartGallery w:val="Page Numbers (Bottom of Page)"/>
        <w:docPartUnique/>
      </w:docPartObj>
    </w:sdtPr>
    <w:sdtEndPr>
      <w:rPr>
        <w:noProof/>
      </w:rPr>
    </w:sdtEndPr>
    <w:sdtContent>
      <w:p w:rsidR="00EB5494" w:rsidRDefault="00EB5494">
        <w:pPr>
          <w:pStyle w:val="Footer"/>
          <w:jc w:val="center"/>
        </w:pPr>
        <w:r>
          <w:fldChar w:fldCharType="begin"/>
        </w:r>
        <w:r>
          <w:instrText xml:space="preserve"> PAGE   \* MERGEFORMAT </w:instrText>
        </w:r>
        <w:r>
          <w:fldChar w:fldCharType="separate"/>
        </w:r>
        <w:r w:rsidR="00005BFE">
          <w:rPr>
            <w:noProof/>
          </w:rPr>
          <w:t>1</w:t>
        </w:r>
        <w:r>
          <w:rPr>
            <w:noProof/>
          </w:rPr>
          <w:fldChar w:fldCharType="end"/>
        </w:r>
      </w:p>
    </w:sdtContent>
  </w:sdt>
  <w:p w:rsidR="00EB5494" w:rsidRDefault="00EB5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75" w:rsidRDefault="002B3275" w:rsidP="00EB5494">
      <w:pPr>
        <w:spacing w:after="0" w:line="240" w:lineRule="auto"/>
      </w:pPr>
      <w:r>
        <w:separator/>
      </w:r>
    </w:p>
  </w:footnote>
  <w:footnote w:type="continuationSeparator" w:id="0">
    <w:p w:rsidR="002B3275" w:rsidRDefault="002B3275" w:rsidP="00EB5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22"/>
    <w:rsid w:val="00005BFE"/>
    <w:rsid w:val="0006004D"/>
    <w:rsid w:val="000D243A"/>
    <w:rsid w:val="001357E1"/>
    <w:rsid w:val="001E2A32"/>
    <w:rsid w:val="002B3275"/>
    <w:rsid w:val="003228FA"/>
    <w:rsid w:val="00347D8A"/>
    <w:rsid w:val="00367B37"/>
    <w:rsid w:val="00373BB0"/>
    <w:rsid w:val="00465D55"/>
    <w:rsid w:val="005250CF"/>
    <w:rsid w:val="00541E40"/>
    <w:rsid w:val="005B3539"/>
    <w:rsid w:val="00822522"/>
    <w:rsid w:val="008A10BB"/>
    <w:rsid w:val="00A17187"/>
    <w:rsid w:val="00BD4811"/>
    <w:rsid w:val="00C00DDE"/>
    <w:rsid w:val="00C863D7"/>
    <w:rsid w:val="00D52BE5"/>
    <w:rsid w:val="00D87650"/>
    <w:rsid w:val="00E665E7"/>
    <w:rsid w:val="00EB5494"/>
    <w:rsid w:val="00FD5DEB"/>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3DB11-E79B-4EFC-9C18-C85D2593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650"/>
    <w:rPr>
      <w:color w:val="0563C1" w:themeColor="hyperlink"/>
      <w:u w:val="single"/>
    </w:rPr>
  </w:style>
  <w:style w:type="character" w:customStyle="1" w:styleId="UnresolvedMention">
    <w:name w:val="Unresolved Mention"/>
    <w:basedOn w:val="DefaultParagraphFont"/>
    <w:uiPriority w:val="99"/>
    <w:semiHidden/>
    <w:unhideWhenUsed/>
    <w:rsid w:val="00D87650"/>
    <w:rPr>
      <w:color w:val="808080"/>
      <w:shd w:val="clear" w:color="auto" w:fill="E6E6E6"/>
    </w:rPr>
  </w:style>
  <w:style w:type="paragraph" w:styleId="Header">
    <w:name w:val="header"/>
    <w:basedOn w:val="Normal"/>
    <w:link w:val="HeaderChar"/>
    <w:uiPriority w:val="99"/>
    <w:unhideWhenUsed/>
    <w:rsid w:val="00EB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94"/>
  </w:style>
  <w:style w:type="paragraph" w:styleId="Footer">
    <w:name w:val="footer"/>
    <w:basedOn w:val="Normal"/>
    <w:link w:val="FooterChar"/>
    <w:uiPriority w:val="99"/>
    <w:unhideWhenUsed/>
    <w:rsid w:val="00EB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4961">
      <w:bodyDiv w:val="1"/>
      <w:marLeft w:val="0"/>
      <w:marRight w:val="0"/>
      <w:marTop w:val="0"/>
      <w:marBottom w:val="0"/>
      <w:divBdr>
        <w:top w:val="none" w:sz="0" w:space="0" w:color="auto"/>
        <w:left w:val="none" w:sz="0" w:space="0" w:color="auto"/>
        <w:bottom w:val="none" w:sz="0" w:space="0" w:color="auto"/>
        <w:right w:val="none" w:sz="0" w:space="0" w:color="auto"/>
      </w:divBdr>
      <w:divsChild>
        <w:div w:id="1146319220">
          <w:marLeft w:val="0"/>
          <w:marRight w:val="0"/>
          <w:marTop w:val="0"/>
          <w:marBottom w:val="0"/>
          <w:divBdr>
            <w:top w:val="none" w:sz="0" w:space="0" w:color="auto"/>
            <w:left w:val="none" w:sz="0" w:space="0" w:color="auto"/>
            <w:bottom w:val="none" w:sz="0" w:space="0" w:color="auto"/>
            <w:right w:val="none" w:sz="0" w:space="0" w:color="auto"/>
          </w:divBdr>
          <w:divsChild>
            <w:div w:id="974530274">
              <w:marLeft w:val="0"/>
              <w:marRight w:val="0"/>
              <w:marTop w:val="0"/>
              <w:marBottom w:val="0"/>
              <w:divBdr>
                <w:top w:val="none" w:sz="0" w:space="0" w:color="auto"/>
                <w:left w:val="none" w:sz="0" w:space="0" w:color="auto"/>
                <w:bottom w:val="none" w:sz="0" w:space="0" w:color="auto"/>
                <w:right w:val="none" w:sz="0" w:space="0" w:color="auto"/>
              </w:divBdr>
              <w:divsChild>
                <w:div w:id="1829052243">
                  <w:marLeft w:val="-225"/>
                  <w:marRight w:val="-225"/>
                  <w:marTop w:val="0"/>
                  <w:marBottom w:val="0"/>
                  <w:divBdr>
                    <w:top w:val="none" w:sz="0" w:space="0" w:color="auto"/>
                    <w:left w:val="none" w:sz="0" w:space="0" w:color="auto"/>
                    <w:bottom w:val="none" w:sz="0" w:space="0" w:color="auto"/>
                    <w:right w:val="none" w:sz="0" w:space="0" w:color="auto"/>
                  </w:divBdr>
                  <w:divsChild>
                    <w:div w:id="1742292726">
                      <w:marLeft w:val="0"/>
                      <w:marRight w:val="0"/>
                      <w:marTop w:val="0"/>
                      <w:marBottom w:val="0"/>
                      <w:divBdr>
                        <w:top w:val="none" w:sz="0" w:space="0" w:color="auto"/>
                        <w:left w:val="none" w:sz="0" w:space="0" w:color="auto"/>
                        <w:bottom w:val="none" w:sz="0" w:space="0" w:color="auto"/>
                        <w:right w:val="none" w:sz="0" w:space="0" w:color="auto"/>
                      </w:divBdr>
                      <w:divsChild>
                        <w:div w:id="2028671540">
                          <w:marLeft w:val="-225"/>
                          <w:marRight w:val="-225"/>
                          <w:marTop w:val="0"/>
                          <w:marBottom w:val="0"/>
                          <w:divBdr>
                            <w:top w:val="none" w:sz="0" w:space="0" w:color="auto"/>
                            <w:left w:val="none" w:sz="0" w:space="0" w:color="auto"/>
                            <w:bottom w:val="none" w:sz="0" w:space="0" w:color="auto"/>
                            <w:right w:val="none" w:sz="0" w:space="0" w:color="auto"/>
                          </w:divBdr>
                          <w:divsChild>
                            <w:div w:id="392702024">
                              <w:marLeft w:val="0"/>
                              <w:marRight w:val="0"/>
                              <w:marTop w:val="0"/>
                              <w:marBottom w:val="0"/>
                              <w:divBdr>
                                <w:top w:val="none" w:sz="0" w:space="0" w:color="auto"/>
                                <w:left w:val="none" w:sz="0" w:space="0" w:color="auto"/>
                                <w:bottom w:val="none" w:sz="0" w:space="0" w:color="auto"/>
                                <w:right w:val="none" w:sz="0" w:space="0" w:color="auto"/>
                              </w:divBdr>
                              <w:divsChild>
                                <w:div w:id="246422927">
                                  <w:marLeft w:val="0"/>
                                  <w:marRight w:val="0"/>
                                  <w:marTop w:val="0"/>
                                  <w:marBottom w:val="0"/>
                                  <w:divBdr>
                                    <w:top w:val="none" w:sz="0" w:space="0" w:color="auto"/>
                                    <w:left w:val="none" w:sz="0" w:space="0" w:color="auto"/>
                                    <w:bottom w:val="none" w:sz="0" w:space="0" w:color="auto"/>
                                    <w:right w:val="none" w:sz="0" w:space="0" w:color="auto"/>
                                  </w:divBdr>
                                  <w:divsChild>
                                    <w:div w:id="402533962">
                                      <w:marLeft w:val="0"/>
                                      <w:marRight w:val="0"/>
                                      <w:marTop w:val="0"/>
                                      <w:marBottom w:val="0"/>
                                      <w:divBdr>
                                        <w:top w:val="none" w:sz="0" w:space="0" w:color="auto"/>
                                        <w:left w:val="none" w:sz="0" w:space="0" w:color="auto"/>
                                        <w:bottom w:val="none" w:sz="0" w:space="0" w:color="auto"/>
                                        <w:right w:val="none" w:sz="0" w:space="0" w:color="auto"/>
                                      </w:divBdr>
                                    </w:div>
                                    <w:div w:id="19251449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744604">
      <w:bodyDiv w:val="1"/>
      <w:marLeft w:val="0"/>
      <w:marRight w:val="0"/>
      <w:marTop w:val="0"/>
      <w:marBottom w:val="0"/>
      <w:divBdr>
        <w:top w:val="none" w:sz="0" w:space="0" w:color="auto"/>
        <w:left w:val="none" w:sz="0" w:space="0" w:color="auto"/>
        <w:bottom w:val="none" w:sz="0" w:space="0" w:color="auto"/>
        <w:right w:val="none" w:sz="0" w:space="0" w:color="auto"/>
      </w:divBdr>
      <w:divsChild>
        <w:div w:id="376859195">
          <w:marLeft w:val="0"/>
          <w:marRight w:val="0"/>
          <w:marTop w:val="0"/>
          <w:marBottom w:val="0"/>
          <w:divBdr>
            <w:top w:val="none" w:sz="0" w:space="0" w:color="auto"/>
            <w:left w:val="none" w:sz="0" w:space="0" w:color="auto"/>
            <w:bottom w:val="none" w:sz="0" w:space="0" w:color="auto"/>
            <w:right w:val="none" w:sz="0" w:space="0" w:color="auto"/>
          </w:divBdr>
          <w:divsChild>
            <w:div w:id="516886740">
              <w:marLeft w:val="0"/>
              <w:marRight w:val="0"/>
              <w:marTop w:val="0"/>
              <w:marBottom w:val="0"/>
              <w:divBdr>
                <w:top w:val="none" w:sz="0" w:space="0" w:color="auto"/>
                <w:left w:val="none" w:sz="0" w:space="0" w:color="auto"/>
                <w:bottom w:val="none" w:sz="0" w:space="0" w:color="auto"/>
                <w:right w:val="none" w:sz="0" w:space="0" w:color="auto"/>
              </w:divBdr>
              <w:divsChild>
                <w:div w:id="1843349753">
                  <w:marLeft w:val="-225"/>
                  <w:marRight w:val="-225"/>
                  <w:marTop w:val="0"/>
                  <w:marBottom w:val="0"/>
                  <w:divBdr>
                    <w:top w:val="none" w:sz="0" w:space="0" w:color="auto"/>
                    <w:left w:val="none" w:sz="0" w:space="0" w:color="auto"/>
                    <w:bottom w:val="none" w:sz="0" w:space="0" w:color="auto"/>
                    <w:right w:val="none" w:sz="0" w:space="0" w:color="auto"/>
                  </w:divBdr>
                  <w:divsChild>
                    <w:div w:id="1243371199">
                      <w:marLeft w:val="0"/>
                      <w:marRight w:val="0"/>
                      <w:marTop w:val="0"/>
                      <w:marBottom w:val="450"/>
                      <w:divBdr>
                        <w:top w:val="none" w:sz="0" w:space="0" w:color="auto"/>
                        <w:left w:val="none" w:sz="0" w:space="0" w:color="auto"/>
                        <w:bottom w:val="none" w:sz="0" w:space="0" w:color="auto"/>
                        <w:right w:val="none" w:sz="0" w:space="0" w:color="auto"/>
                      </w:divBdr>
                      <w:divsChild>
                        <w:div w:id="1673337226">
                          <w:marLeft w:val="0"/>
                          <w:marRight w:val="0"/>
                          <w:marTop w:val="0"/>
                          <w:marBottom w:val="0"/>
                          <w:divBdr>
                            <w:top w:val="none" w:sz="0" w:space="0" w:color="auto"/>
                            <w:left w:val="none" w:sz="0" w:space="0" w:color="auto"/>
                            <w:bottom w:val="none" w:sz="0" w:space="0" w:color="auto"/>
                            <w:right w:val="none" w:sz="0" w:space="0" w:color="auto"/>
                          </w:divBdr>
                          <w:divsChild>
                            <w:div w:id="2936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quote.org/wiki/File:Balanced_scale_of_Justice.sv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Danielle Britt</cp:lastModifiedBy>
  <cp:revision>2</cp:revision>
  <dcterms:created xsi:type="dcterms:W3CDTF">2017-11-09T13:37:00Z</dcterms:created>
  <dcterms:modified xsi:type="dcterms:W3CDTF">2017-11-09T13:37:00Z</dcterms:modified>
</cp:coreProperties>
</file>