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C1880" w:rsidRPr="00EC1880" w:rsidTr="00EC1880">
        <w:trPr>
          <w:tblCellSpacing w:w="0" w:type="dxa"/>
        </w:trPr>
        <w:tc>
          <w:tcPr>
            <w:tcW w:w="0" w:type="auto"/>
            <w:shd w:val="clear" w:color="auto" w:fill="FFFFFF"/>
            <w:hideMark/>
          </w:tcPr>
          <w:p w:rsidR="00EC1880" w:rsidRPr="00EC1880" w:rsidRDefault="00EC1880" w:rsidP="00EC1880">
            <w:pPr>
              <w:spacing w:after="0" w:line="240" w:lineRule="auto"/>
              <w:rPr>
                <w:rFonts w:ascii="Times New Roman" w:eastAsia="Times New Roman" w:hAnsi="Times New Roman" w:cs="Times New Roman"/>
                <w:sz w:val="24"/>
                <w:szCs w:val="24"/>
              </w:rPr>
            </w:pPr>
          </w:p>
        </w:tc>
      </w:tr>
      <w:tr w:rsidR="00EC1880" w:rsidRPr="00EC1880" w:rsidTr="00EC1880">
        <w:trPr>
          <w:tblCellSpacing w:w="0" w:type="dxa"/>
        </w:trPr>
        <w:tc>
          <w:tcPr>
            <w:tcW w:w="0" w:type="auto"/>
            <w:shd w:val="clear" w:color="auto" w:fill="FFFFFF"/>
            <w:hideMark/>
          </w:tcPr>
          <w:p w:rsidR="00EC1880" w:rsidRPr="00EC1880" w:rsidRDefault="00EC1880" w:rsidP="00EC1880">
            <w:pPr>
              <w:spacing w:before="100" w:beforeAutospacing="1" w:after="100" w:afterAutospacing="1" w:line="360" w:lineRule="auto"/>
              <w:jc w:val="center"/>
              <w:rPr>
                <w:rFonts w:ascii="Helvetica" w:eastAsia="Times New Roman" w:hAnsi="Helvetica" w:cs="Helvetica"/>
                <w:color w:val="4B4B4B"/>
                <w:sz w:val="23"/>
                <w:szCs w:val="23"/>
              </w:rPr>
            </w:pPr>
            <w:r w:rsidRPr="00EC1880">
              <w:rPr>
                <w:rFonts w:ascii="Arial" w:eastAsia="Times New Roman" w:hAnsi="Arial" w:cs="Arial"/>
                <w:b/>
                <w:bCs/>
                <w:color w:val="4B4B4B"/>
                <w:sz w:val="24"/>
                <w:szCs w:val="24"/>
              </w:rPr>
              <w:t>Government Watchdog Groups Call on Ohio Inspector General To Release Investigation into Bill Lager’s IQ Innovations</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i/>
                <w:iCs/>
                <w:color w:val="4B4B4B"/>
                <w:sz w:val="24"/>
                <w:szCs w:val="24"/>
              </w:rPr>
              <w:t>For Immediate Release </w:t>
            </w:r>
            <w:r w:rsidRPr="00EC1880">
              <w:rPr>
                <w:rFonts w:ascii="Helvetica" w:eastAsia="Times New Roman" w:hAnsi="Helvetica" w:cs="Helvetica"/>
                <w:color w:val="4B4B4B"/>
                <w:sz w:val="23"/>
                <w:szCs w:val="23"/>
              </w:rPr>
              <w:br/>
            </w:r>
            <w:r w:rsidRPr="00EC1880">
              <w:rPr>
                <w:rFonts w:ascii="Arial" w:eastAsia="Times New Roman" w:hAnsi="Arial" w:cs="Arial"/>
                <w:color w:val="4B4B4B"/>
                <w:sz w:val="24"/>
                <w:szCs w:val="24"/>
              </w:rPr>
              <w:t>September 18, 2018</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b/>
                <w:bCs/>
                <w:color w:val="4B4B4B"/>
                <w:sz w:val="24"/>
                <w:szCs w:val="24"/>
              </w:rPr>
              <w:t>COLUMBUS</w:t>
            </w:r>
            <w:r w:rsidRPr="00EC1880">
              <w:rPr>
                <w:rFonts w:ascii="Arial" w:eastAsia="Times New Roman" w:hAnsi="Arial" w:cs="Arial"/>
                <w:color w:val="4B4B4B"/>
                <w:sz w:val="24"/>
                <w:szCs w:val="24"/>
              </w:rPr>
              <w:t xml:space="preserve"> – ProgressOhio joined with Common Cause Ohio to urge the Inspector General (IG) to release his investigation into a multi-million contract the Kasich administration steered to a firm owned by ECOT founder William Lager.</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The IG’s investigation became public in 2016 as part of a ProgressOhio investigation into the contract to develop a clearinghouse for online textbooks and other learning materials.  Its report showed that Ohio handed the no-bid contract to IQ Innovations. When the clearinghouse did not work properly, taxpayers were forced to spend even more money on “enhancements.” Attorney General Mike DeWine showed no interest in cancelling the contract or returning the wasted millions to taxpayers. </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 xml:space="preserve">Last January, then-ProgressOhio Executive Director Sandy Theis sued the Inspector General for his investigatory findings but withdrew the complaint in April when his office assured her that the report was in the process of being drafted. In a </w:t>
            </w:r>
            <w:hyperlink r:id="rId6" w:tgtFrame="_blank" w:history="1">
              <w:r w:rsidRPr="00EC1880">
                <w:rPr>
                  <w:rFonts w:ascii="Arial" w:eastAsia="Times New Roman" w:hAnsi="Arial" w:cs="Arial"/>
                  <w:color w:val="0000FF"/>
                  <w:sz w:val="24"/>
                  <w:szCs w:val="24"/>
                  <w:u w:val="single"/>
                </w:rPr>
                <w:t>letter dated Sept. 17</w:t>
              </w:r>
            </w:hyperlink>
            <w:r w:rsidRPr="00EC1880">
              <w:rPr>
                <w:rFonts w:ascii="Arial" w:eastAsia="Times New Roman" w:hAnsi="Arial" w:cs="Arial"/>
                <w:color w:val="4B4B4B"/>
                <w:sz w:val="24"/>
                <w:szCs w:val="24"/>
              </w:rPr>
              <w:t>, Theis informed the IG that her case will be refiled if his report is not released by October 9, 2018.</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 xml:space="preserve">“This case is a matter of great public interest,’’ said </w:t>
            </w:r>
            <w:r w:rsidRPr="00EC1880">
              <w:rPr>
                <w:rFonts w:ascii="Arial" w:eastAsia="Times New Roman" w:hAnsi="Arial" w:cs="Arial"/>
                <w:b/>
                <w:bCs/>
                <w:color w:val="4B4B4B"/>
                <w:sz w:val="24"/>
                <w:szCs w:val="24"/>
              </w:rPr>
              <w:t>ProgressOhio Managing Director Tyler Dillon</w:t>
            </w:r>
            <w:r w:rsidRPr="00EC1880">
              <w:rPr>
                <w:rFonts w:ascii="Arial" w:eastAsia="Times New Roman" w:hAnsi="Arial" w:cs="Arial"/>
                <w:color w:val="4B4B4B"/>
                <w:sz w:val="24"/>
                <w:szCs w:val="24"/>
              </w:rPr>
              <w:t>. “The Inspector General’s investigation got started more than two years ago and additional delays do not seem to be reasonable.’’</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 xml:space="preserve">Common Cause Ohio’s executive director Catherine </w:t>
            </w:r>
            <w:proofErr w:type="spellStart"/>
            <w:r w:rsidRPr="00EC1880">
              <w:rPr>
                <w:rFonts w:ascii="Arial" w:eastAsia="Times New Roman" w:hAnsi="Arial" w:cs="Arial"/>
                <w:color w:val="4B4B4B"/>
                <w:sz w:val="24"/>
                <w:szCs w:val="24"/>
              </w:rPr>
              <w:t>Turcer</w:t>
            </w:r>
            <w:proofErr w:type="spellEnd"/>
            <w:r w:rsidRPr="00EC1880">
              <w:rPr>
                <w:rFonts w:ascii="Arial" w:eastAsia="Times New Roman" w:hAnsi="Arial" w:cs="Arial"/>
                <w:color w:val="4B4B4B"/>
                <w:sz w:val="24"/>
                <w:szCs w:val="24"/>
              </w:rPr>
              <w:t xml:space="preserve"> noted that the public records dispute was handled by a mediation program administered by the Ohio Court of Claims.</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 xml:space="preserve">“The mediation program has helped many citizens access public records but it can only continue to serve the public if all parties act in good faith,’’ </w:t>
            </w:r>
            <w:proofErr w:type="spellStart"/>
            <w:r w:rsidRPr="00EC1880">
              <w:rPr>
                <w:rFonts w:ascii="Arial" w:eastAsia="Times New Roman" w:hAnsi="Arial" w:cs="Arial"/>
                <w:color w:val="4B4B4B"/>
                <w:sz w:val="24"/>
                <w:szCs w:val="24"/>
              </w:rPr>
              <w:t>Turcer</w:t>
            </w:r>
            <w:proofErr w:type="spellEnd"/>
            <w:r w:rsidRPr="00EC1880">
              <w:rPr>
                <w:rFonts w:ascii="Arial" w:eastAsia="Times New Roman" w:hAnsi="Arial" w:cs="Arial"/>
                <w:color w:val="4B4B4B"/>
                <w:sz w:val="24"/>
                <w:szCs w:val="24"/>
              </w:rPr>
              <w:t xml:space="preserve"> said. “It can take </w:t>
            </w:r>
            <w:r w:rsidRPr="00EC1880">
              <w:rPr>
                <w:rFonts w:ascii="Arial" w:eastAsia="Times New Roman" w:hAnsi="Arial" w:cs="Arial"/>
                <w:color w:val="4B4B4B"/>
                <w:sz w:val="24"/>
                <w:szCs w:val="24"/>
              </w:rPr>
              <w:lastRenderedPageBreak/>
              <w:t>some time to wrap reports but we have waited more than six months for these records.  We have been patient but a study shouldn’t be a get-out-of-jail-free card.”</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According to the ProgressOhio investigation, Lager gave $200,000 to the Republican Governors’ Association (RGA) before Kasich won his first term. Lager identified himself with IQ, not ECOT, campaign finance records show.  </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 xml:space="preserve">In his first budget as governor, Kasich mandated that Ohio launch the clearinghouse and house it at The Ohio State University. The same budget authorized the Chancellor of the Ohio Board of Regents to select the winning vendor. Kasich’s new Chancellor picked IQ, </w:t>
            </w:r>
            <w:proofErr w:type="gramStart"/>
            <w:r w:rsidRPr="00EC1880">
              <w:rPr>
                <w:rFonts w:ascii="Arial" w:eastAsia="Times New Roman" w:hAnsi="Arial" w:cs="Arial"/>
                <w:color w:val="4B4B4B"/>
                <w:sz w:val="24"/>
                <w:szCs w:val="24"/>
              </w:rPr>
              <w:t>then</w:t>
            </w:r>
            <w:proofErr w:type="gramEnd"/>
            <w:r w:rsidRPr="00EC1880">
              <w:rPr>
                <w:rFonts w:ascii="Arial" w:eastAsia="Times New Roman" w:hAnsi="Arial" w:cs="Arial"/>
                <w:color w:val="4B4B4B"/>
                <w:sz w:val="24"/>
                <w:szCs w:val="24"/>
              </w:rPr>
              <w:t xml:space="preserve"> tapped a former Lager employee to oversee the flawed project.</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Since the report was published, new information about the scandal has surfaced. It includes:</w:t>
            </w:r>
          </w:p>
          <w:p w:rsidR="00EC1880" w:rsidRPr="00EC1880" w:rsidRDefault="00EC1880" w:rsidP="00EC1880">
            <w:pPr>
              <w:numPr>
                <w:ilvl w:val="0"/>
                <w:numId w:val="1"/>
              </w:num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A report in the Columbus Dispatch that the FBI has taken an interest in Lager’s political donations.</w:t>
            </w:r>
          </w:p>
          <w:p w:rsidR="00EC1880" w:rsidRPr="00EC1880" w:rsidRDefault="00EC1880" w:rsidP="00EC1880">
            <w:pPr>
              <w:numPr>
                <w:ilvl w:val="0"/>
                <w:numId w:val="1"/>
              </w:numPr>
              <w:spacing w:before="100" w:beforeAutospacing="1" w:after="100" w:afterAutospacing="1" w:line="360" w:lineRule="auto"/>
              <w:rPr>
                <w:rFonts w:ascii="Helvetica" w:eastAsia="Times New Roman" w:hAnsi="Helvetica" w:cs="Helvetica"/>
                <w:color w:val="4B4B4B"/>
                <w:sz w:val="23"/>
                <w:szCs w:val="23"/>
              </w:rPr>
            </w:pPr>
            <w:proofErr w:type="gramStart"/>
            <w:r w:rsidRPr="00EC1880">
              <w:rPr>
                <w:rFonts w:ascii="Arial" w:eastAsia="Times New Roman" w:hAnsi="Arial" w:cs="Arial"/>
                <w:color w:val="4B4B4B"/>
                <w:sz w:val="24"/>
                <w:szCs w:val="24"/>
              </w:rPr>
              <w:t>News reports showing that Kasich’s choice for Chancellor received more direct donations from Lager and has</w:t>
            </w:r>
            <w:proofErr w:type="gramEnd"/>
            <w:r w:rsidRPr="00EC1880">
              <w:rPr>
                <w:rFonts w:ascii="Arial" w:eastAsia="Times New Roman" w:hAnsi="Arial" w:cs="Arial"/>
                <w:color w:val="4B4B4B"/>
                <w:sz w:val="24"/>
                <w:szCs w:val="24"/>
              </w:rPr>
              <w:t xml:space="preserve"> employees than any politician in Ohio history. </w:t>
            </w:r>
          </w:p>
          <w:p w:rsidR="00EC1880" w:rsidRPr="00EC1880" w:rsidRDefault="00EC1880" w:rsidP="00EC1880">
            <w:pPr>
              <w:numPr>
                <w:ilvl w:val="0"/>
                <w:numId w:val="1"/>
              </w:num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color w:val="4B4B4B"/>
                <w:sz w:val="24"/>
                <w:szCs w:val="24"/>
              </w:rPr>
              <w:t>Never-before-disclosed documents provided by an OSU whistleblower that contradict OSU’s public statements supportive of the clearinghouse.</w:t>
            </w:r>
          </w:p>
          <w:p w:rsidR="00EC1880" w:rsidRPr="00EC1880" w:rsidRDefault="00EC1880" w:rsidP="00EC1880">
            <w:pPr>
              <w:spacing w:before="100" w:beforeAutospacing="1" w:after="240" w:line="360" w:lineRule="auto"/>
              <w:jc w:val="center"/>
              <w:rPr>
                <w:rFonts w:ascii="Helvetica" w:eastAsia="Times New Roman" w:hAnsi="Helvetica" w:cs="Helvetica"/>
                <w:color w:val="4B4B4B"/>
                <w:sz w:val="23"/>
                <w:szCs w:val="23"/>
              </w:rPr>
            </w:pPr>
            <w:r w:rsidRPr="00EC1880">
              <w:rPr>
                <w:rFonts w:ascii="Arial" w:eastAsia="Times New Roman" w:hAnsi="Arial" w:cs="Arial"/>
                <w:color w:val="4B4B4B"/>
                <w:sz w:val="24"/>
                <w:szCs w:val="24"/>
              </w:rPr>
              <w:t>###</w:t>
            </w:r>
          </w:p>
          <w:p w:rsidR="00EC1880" w:rsidRPr="00EC1880" w:rsidRDefault="00EC1880" w:rsidP="00EC1880">
            <w:pPr>
              <w:spacing w:before="100" w:beforeAutospacing="1" w:after="100" w:afterAutospacing="1" w:line="360" w:lineRule="auto"/>
              <w:rPr>
                <w:rFonts w:ascii="Helvetica" w:eastAsia="Times New Roman" w:hAnsi="Helvetica" w:cs="Helvetica"/>
                <w:color w:val="4B4B4B"/>
                <w:sz w:val="23"/>
                <w:szCs w:val="23"/>
              </w:rPr>
            </w:pPr>
            <w:r w:rsidRPr="00EC1880">
              <w:rPr>
                <w:rFonts w:ascii="Arial" w:eastAsia="Times New Roman" w:hAnsi="Arial" w:cs="Arial"/>
                <w:b/>
                <w:bCs/>
                <w:color w:val="4B4B4B"/>
                <w:sz w:val="24"/>
                <w:szCs w:val="24"/>
              </w:rPr>
              <w:t>For More Information Contact:</w:t>
            </w:r>
            <w:r w:rsidRPr="00EC1880">
              <w:rPr>
                <w:rFonts w:ascii="Helvetica" w:eastAsia="Times New Roman" w:hAnsi="Helvetica" w:cs="Helvetica"/>
                <w:color w:val="4B4B4B"/>
                <w:sz w:val="23"/>
                <w:szCs w:val="23"/>
              </w:rPr>
              <w:br/>
            </w:r>
            <w:r w:rsidRPr="00EC1880">
              <w:rPr>
                <w:rFonts w:ascii="Arial" w:eastAsia="Times New Roman" w:hAnsi="Arial" w:cs="Arial"/>
                <w:color w:val="4B4B4B"/>
                <w:sz w:val="24"/>
                <w:szCs w:val="24"/>
              </w:rPr>
              <w:t xml:space="preserve">Catherine </w:t>
            </w:r>
            <w:proofErr w:type="spellStart"/>
            <w:r w:rsidRPr="00EC1880">
              <w:rPr>
                <w:rFonts w:ascii="Arial" w:eastAsia="Times New Roman" w:hAnsi="Arial" w:cs="Arial"/>
                <w:color w:val="4B4B4B"/>
                <w:sz w:val="24"/>
                <w:szCs w:val="24"/>
              </w:rPr>
              <w:t>Turcer</w:t>
            </w:r>
            <w:proofErr w:type="spellEnd"/>
            <w:r w:rsidRPr="00EC1880">
              <w:rPr>
                <w:rFonts w:ascii="Arial" w:eastAsia="Times New Roman" w:hAnsi="Arial" w:cs="Arial"/>
                <w:color w:val="4B4B4B"/>
                <w:sz w:val="24"/>
                <w:szCs w:val="24"/>
              </w:rPr>
              <w:t>: 614-579-5509</w:t>
            </w:r>
            <w:r w:rsidRPr="00EC1880">
              <w:rPr>
                <w:rFonts w:ascii="Helvetica" w:eastAsia="Times New Roman" w:hAnsi="Helvetica" w:cs="Helvetica"/>
                <w:color w:val="4B4B4B"/>
                <w:sz w:val="23"/>
                <w:szCs w:val="23"/>
              </w:rPr>
              <w:br/>
            </w:r>
            <w:r w:rsidRPr="00EC1880">
              <w:rPr>
                <w:rFonts w:ascii="Arial" w:eastAsia="Times New Roman" w:hAnsi="Arial" w:cs="Arial"/>
                <w:color w:val="4B4B4B"/>
                <w:sz w:val="24"/>
                <w:szCs w:val="24"/>
              </w:rPr>
              <w:t>Sandy Theis: 614-940-0131</w:t>
            </w:r>
          </w:p>
          <w:p w:rsidR="00EC1880" w:rsidRPr="00EC1880" w:rsidRDefault="00EC1880" w:rsidP="00EC1880">
            <w:pPr>
              <w:spacing w:after="0" w:line="360" w:lineRule="auto"/>
              <w:rPr>
                <w:rFonts w:ascii="Helvetica" w:eastAsia="Times New Roman" w:hAnsi="Helvetica" w:cs="Helvetica"/>
                <w:color w:val="4B4B4B"/>
                <w:sz w:val="23"/>
                <w:szCs w:val="23"/>
              </w:rPr>
            </w:pPr>
            <w:r w:rsidRPr="00EC1880">
              <w:rPr>
                <w:rFonts w:ascii="Helvetica" w:eastAsia="Times New Roman" w:hAnsi="Helvetica" w:cs="Helvetica"/>
                <w:noProof/>
                <w:color w:val="4B4B4B"/>
                <w:sz w:val="23"/>
                <w:szCs w:val="23"/>
              </w:rPr>
              <w:drawing>
                <wp:inline distT="0" distB="0" distL="0" distR="0" wp14:anchorId="191AA52F" wp14:editId="2E3FC85A">
                  <wp:extent cx="9525" cy="9525"/>
                  <wp:effectExtent l="0" t="0" r="0" b="0"/>
                  <wp:docPr id="1" name="Picture 1" descr="https://ecp.yusercontent.com/mail?url=https%3A%2F%2Fprogressohio.actionkit.com%2Fo.gif%3Fakid%3D10836.163958.TPPxo0&amp;t=1537821082&amp;ymreqid=e2d87a72-e41b-aa70-016d-080367010000&amp;sig=N4YSfKpr.8.5YTkhsd7OP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progressohio.actionkit.com%2Fo.gif%3Fakid%3D10836.163958.TPPxo0&amp;t=1537821082&amp;ymreqid=e2d87a72-e41b-aa70-016d-080367010000&amp;sig=N4YSfKpr.8.5YTkhsd7OPQ--~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D45EE" w:rsidRDefault="00BD45EE">
      <w:bookmarkStart w:id="0" w:name="_GoBack"/>
      <w:bookmarkEnd w:id="0"/>
    </w:p>
    <w:sectPr w:rsidR="00BD4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62C9"/>
    <w:multiLevelType w:val="multilevel"/>
    <w:tmpl w:val="06B6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80"/>
    <w:rsid w:val="00BD45EE"/>
    <w:rsid w:val="00EC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sohio.actionkit.com/go/29169?t=6&amp;akid=10836%2E163958%2ETPPxo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OhioEA</dc:creator>
  <cp:lastModifiedBy>OhioEA</cp:lastModifiedBy>
  <cp:revision>1</cp:revision>
  <dcterms:created xsi:type="dcterms:W3CDTF">2018-09-24T20:32:00Z</dcterms:created>
  <dcterms:modified xsi:type="dcterms:W3CDTF">2018-09-24T20:33:00Z</dcterms:modified>
</cp:coreProperties>
</file>