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D8E49" w14:textId="77777777" w:rsid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r>
        <w:rPr>
          <w:noProof/>
        </w:rPr>
        <w:drawing>
          <wp:anchor distT="0" distB="0" distL="114300" distR="114300" simplePos="0" relativeHeight="251660288" behindDoc="0" locked="0" layoutInCell="1" allowOverlap="1" wp14:anchorId="011468D4" wp14:editId="07063F39">
            <wp:simplePos x="0" y="0"/>
            <wp:positionH relativeFrom="column">
              <wp:posOffset>1736725</wp:posOffset>
            </wp:positionH>
            <wp:positionV relativeFrom="paragraph">
              <wp:posOffset>-405765</wp:posOffset>
            </wp:positionV>
            <wp:extent cx="2415687" cy="697865"/>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ant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687" cy="697865"/>
                    </a:xfrm>
                    <a:prstGeom prst="rect">
                      <a:avLst/>
                    </a:prstGeom>
                  </pic:spPr>
                </pic:pic>
              </a:graphicData>
            </a:graphic>
            <wp14:sizeRelH relativeFrom="page">
              <wp14:pctWidth>0</wp14:pctWidth>
            </wp14:sizeRelH>
            <wp14:sizeRelV relativeFrom="page">
              <wp14:pctHeight>0</wp14:pctHeight>
            </wp14:sizeRelV>
          </wp:anchor>
        </w:drawing>
      </w:r>
    </w:p>
    <w:p w14:paraId="13282E4F" w14:textId="77777777" w:rsid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0785517D" w14:textId="77777777" w:rsid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2093D226" w14:textId="77777777" w:rsidR="002C293C" w:rsidRDefault="002C293C" w:rsidP="002C293C">
      <w:pPr>
        <w:shd w:val="clear" w:color="auto" w:fill="FFFFFF"/>
        <w:spacing w:after="0" w:line="240" w:lineRule="auto"/>
        <w:rPr>
          <w:rFonts w:ascii="Arial" w:hAnsi="Arial" w:cs="Arial"/>
          <w:b/>
          <w:bCs/>
          <w:color w:val="294B93"/>
          <w:shd w:val="clear" w:color="auto" w:fill="FFFFFF"/>
        </w:rPr>
      </w:pPr>
      <w:r>
        <w:rPr>
          <w:rFonts w:ascii="Arial" w:hAnsi="Arial" w:cs="Arial"/>
          <w:b/>
          <w:bCs/>
          <w:color w:val="294B93"/>
          <w:shd w:val="clear" w:color="auto" w:fill="FFFFFF"/>
        </w:rPr>
        <w:t>CMS Updates PDPM Group Tools and Resources</w:t>
      </w:r>
    </w:p>
    <w:p w14:paraId="61F1B5F3" w14:textId="77777777" w:rsidR="002C293C" w:rsidRDefault="002C293C" w:rsidP="002C293C">
      <w:pPr>
        <w:shd w:val="clear" w:color="auto" w:fill="FFFFFF"/>
        <w:spacing w:after="0" w:line="240" w:lineRule="auto"/>
        <w:rPr>
          <w:rFonts w:ascii="Times New Roman" w:eastAsia="Times New Roman" w:hAnsi="Times New Roman" w:cs="Times New Roman"/>
          <w:color w:val="606D78"/>
          <w:sz w:val="24"/>
          <w:szCs w:val="24"/>
        </w:rPr>
      </w:pPr>
    </w:p>
    <w:p w14:paraId="3E5D576E" w14:textId="77777777" w:rsidR="009E5D7E" w:rsidRPr="009E5D7E" w:rsidRDefault="009E5D7E" w:rsidP="009E5D7E">
      <w:pPr>
        <w:shd w:val="clear" w:color="auto" w:fill="FFFFFF"/>
        <w:spacing w:after="0" w:line="240" w:lineRule="auto"/>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Skilled Nursing Facility (SNF) Provider Preview Reports have been updated and are now available. Providers have until June 30, 2018 to review their performance data prior to public display on the Nursing Home Compare (NHC) site. Corrections to the underlying data will not be permitted during this time. However, providers can request a CMS review during the preview period if they believe their data scores displayed are inaccurate.</w:t>
      </w:r>
    </w:p>
    <w:p w14:paraId="1DEFEBA2" w14:textId="77777777" w:rsidR="009E5D7E" w:rsidRPr="009E5D7E" w:rsidRDefault="009E5D7E" w:rsidP="009E5D7E">
      <w:pPr>
        <w:shd w:val="clear" w:color="auto" w:fill="FFFFFF"/>
        <w:spacing w:after="0" w:line="240" w:lineRule="auto"/>
        <w:rPr>
          <w:rFonts w:ascii="Times New Roman" w:eastAsia="Times New Roman" w:hAnsi="Times New Roman" w:cs="Times New Roman"/>
          <w:color w:val="606D78"/>
          <w:sz w:val="24"/>
          <w:szCs w:val="24"/>
        </w:rPr>
      </w:pPr>
    </w:p>
    <w:p w14:paraId="182F6312" w14:textId="77777777" w:rsidR="009E5D7E" w:rsidRPr="009E5D7E" w:rsidRDefault="009E5D7E" w:rsidP="009E5D7E">
      <w:pPr>
        <w:shd w:val="clear" w:color="auto" w:fill="FFFFFF"/>
        <w:spacing w:after="0" w:line="240" w:lineRule="auto"/>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 xml:space="preserve">The SNF Provider Preview Report includes performance data on the following quality measures based on the subsequent Quarterly data: </w:t>
      </w:r>
    </w:p>
    <w:p w14:paraId="6CF86C5F" w14:textId="77777777" w:rsidR="009E5D7E" w:rsidRPr="009E5D7E" w:rsidRDefault="009E5D7E" w:rsidP="009E5D7E">
      <w:pPr>
        <w:shd w:val="clear" w:color="auto" w:fill="FFFFFF"/>
        <w:spacing w:after="0" w:line="240" w:lineRule="auto"/>
        <w:rPr>
          <w:rFonts w:ascii="Times New Roman" w:eastAsia="Times New Roman" w:hAnsi="Times New Roman" w:cs="Times New Roman"/>
          <w:color w:val="606D78"/>
          <w:sz w:val="24"/>
          <w:szCs w:val="24"/>
        </w:rPr>
      </w:pPr>
    </w:p>
    <w:p w14:paraId="1162799E" w14:textId="77777777" w:rsidR="009E5D7E" w:rsidRPr="009E5D7E" w:rsidRDefault="009E5D7E" w:rsidP="009E5D7E">
      <w:pPr>
        <w:shd w:val="clear" w:color="auto" w:fill="FFFFFF"/>
        <w:spacing w:after="0" w:line="240" w:lineRule="auto"/>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Quarter 1 – 2017 to Quarter 4 – 2017 data</w:t>
      </w:r>
    </w:p>
    <w:p w14:paraId="09E054AE" w14:textId="77777777" w:rsidR="009E5D7E" w:rsidRPr="009E5D7E" w:rsidRDefault="009E5D7E" w:rsidP="009E5D7E">
      <w:pPr>
        <w:numPr>
          <w:ilvl w:val="0"/>
          <w:numId w:val="5"/>
        </w:numPr>
        <w:shd w:val="clear" w:color="auto" w:fill="FFFFFF"/>
        <w:spacing w:after="0" w:line="240" w:lineRule="auto"/>
        <w:ind w:left="600"/>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Application of Percent of Residents Experiencing One or More Falls with Major Injury (Long Stay) (#0674)</w:t>
      </w:r>
    </w:p>
    <w:p w14:paraId="7E1D461D" w14:textId="77777777" w:rsidR="009E5D7E" w:rsidRPr="009E5D7E" w:rsidRDefault="009E5D7E" w:rsidP="009E5D7E">
      <w:pPr>
        <w:numPr>
          <w:ilvl w:val="0"/>
          <w:numId w:val="5"/>
        </w:numPr>
        <w:shd w:val="clear" w:color="auto" w:fill="FFFFFF"/>
        <w:spacing w:after="0" w:line="240" w:lineRule="auto"/>
        <w:ind w:left="600"/>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Percent of Residents or Patients with Pressure Ulcers That Are New or Worsened (Short Stay) (NQF #0678)</w:t>
      </w:r>
    </w:p>
    <w:p w14:paraId="4417BB80" w14:textId="77777777" w:rsidR="009E5D7E" w:rsidRPr="009E5D7E" w:rsidRDefault="009E5D7E" w:rsidP="009E5D7E">
      <w:pPr>
        <w:numPr>
          <w:ilvl w:val="0"/>
          <w:numId w:val="5"/>
        </w:numPr>
        <w:shd w:val="clear" w:color="auto" w:fill="FFFFFF"/>
        <w:spacing w:after="0" w:line="240" w:lineRule="auto"/>
        <w:ind w:left="600"/>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Application of Percent of Long-Term Care Hospital Patients with an Admission and Discharge Functional Assessment and a Care Plan That Addresses Function (#2631).  </w:t>
      </w:r>
    </w:p>
    <w:p w14:paraId="5D80E5CE" w14:textId="77777777" w:rsidR="009E5D7E" w:rsidRPr="009E5D7E" w:rsidRDefault="009E5D7E" w:rsidP="009E5D7E">
      <w:pPr>
        <w:shd w:val="clear" w:color="auto" w:fill="FFFFFF"/>
        <w:spacing w:after="0" w:line="240" w:lineRule="auto"/>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 xml:space="preserve">Quarter 4 – 2016 to Quarter 3 – 2017 data </w:t>
      </w:r>
    </w:p>
    <w:p w14:paraId="34FCF48A" w14:textId="77777777" w:rsidR="009E5D7E" w:rsidRPr="009E5D7E" w:rsidRDefault="009E5D7E" w:rsidP="009E5D7E">
      <w:pPr>
        <w:numPr>
          <w:ilvl w:val="0"/>
          <w:numId w:val="6"/>
        </w:numPr>
        <w:shd w:val="clear" w:color="auto" w:fill="FFFFFF"/>
        <w:spacing w:after="0" w:line="240" w:lineRule="auto"/>
        <w:ind w:left="600"/>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Medicare Spending Per Beneficiary – Post-Acute Care (PAC) Skilled Nursing Facility Measure</w:t>
      </w:r>
    </w:p>
    <w:p w14:paraId="673E30C4" w14:textId="77777777" w:rsidR="009E5D7E" w:rsidRPr="009E5D7E" w:rsidRDefault="009E5D7E" w:rsidP="009E5D7E">
      <w:pPr>
        <w:numPr>
          <w:ilvl w:val="0"/>
          <w:numId w:val="6"/>
        </w:numPr>
        <w:shd w:val="clear" w:color="auto" w:fill="FFFFFF"/>
        <w:spacing w:after="0" w:line="240" w:lineRule="auto"/>
        <w:ind w:left="600"/>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Discharge to Community- Post Acute Care (PAC) Skilled Nursing Facility (SNF) Quality Reporting Program (QRP) </w:t>
      </w:r>
    </w:p>
    <w:p w14:paraId="57E1B8DA" w14:textId="77777777" w:rsidR="009E5D7E" w:rsidRPr="009E5D7E" w:rsidRDefault="009E5D7E" w:rsidP="009E5D7E">
      <w:pPr>
        <w:shd w:val="clear" w:color="auto" w:fill="FFFFFF"/>
        <w:spacing w:after="0" w:line="240" w:lineRule="auto"/>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Quarter 4 – 2015 to Quarter 3 – 2017 data</w:t>
      </w:r>
    </w:p>
    <w:p w14:paraId="097D6162" w14:textId="77777777" w:rsidR="009E5D7E" w:rsidRPr="009E5D7E" w:rsidRDefault="009E5D7E" w:rsidP="009E5D7E">
      <w:pPr>
        <w:numPr>
          <w:ilvl w:val="0"/>
          <w:numId w:val="7"/>
        </w:numPr>
        <w:shd w:val="clear" w:color="auto" w:fill="FFFFFF"/>
        <w:spacing w:after="0" w:line="240" w:lineRule="auto"/>
        <w:ind w:left="600"/>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Potentially Preventable 30-Days Post-Discharge Readmission Measure for Skilled Nursing Facility (SNF) Quality Reporting Program (QRP).</w:t>
      </w:r>
    </w:p>
    <w:p w14:paraId="2A0DAC71" w14:textId="77777777" w:rsidR="009E5D7E" w:rsidRPr="009E5D7E" w:rsidRDefault="009E5D7E" w:rsidP="009E5D7E">
      <w:pPr>
        <w:shd w:val="clear" w:color="auto" w:fill="FFFFFF"/>
        <w:spacing w:after="0" w:line="240" w:lineRule="auto"/>
        <w:rPr>
          <w:rFonts w:ascii="Times New Roman" w:eastAsia="Times New Roman" w:hAnsi="Times New Roman" w:cs="Times New Roman"/>
          <w:color w:val="606D78"/>
          <w:sz w:val="24"/>
          <w:szCs w:val="24"/>
        </w:rPr>
      </w:pPr>
    </w:p>
    <w:p w14:paraId="699D3B99" w14:textId="77777777" w:rsidR="009E5D7E" w:rsidRPr="009E5D7E" w:rsidRDefault="009E5D7E" w:rsidP="009E5D7E">
      <w:pPr>
        <w:shd w:val="clear" w:color="auto" w:fill="FFFFFF"/>
        <w:spacing w:after="0" w:line="240" w:lineRule="auto"/>
        <w:rPr>
          <w:rFonts w:ascii="Times New Roman" w:eastAsia="Times New Roman" w:hAnsi="Times New Roman" w:cs="Times New Roman"/>
          <w:color w:val="606D78"/>
          <w:sz w:val="24"/>
          <w:szCs w:val="24"/>
        </w:rPr>
      </w:pPr>
      <w:r w:rsidRPr="009E5D7E">
        <w:rPr>
          <w:rFonts w:ascii="Times New Roman" w:eastAsia="Times New Roman" w:hAnsi="Times New Roman" w:cs="Times New Roman"/>
          <w:color w:val="606D78"/>
          <w:sz w:val="24"/>
          <w:szCs w:val="24"/>
        </w:rPr>
        <w:t>For more information:</w:t>
      </w:r>
    </w:p>
    <w:p w14:paraId="50044089" w14:textId="77777777" w:rsidR="009E5D7E" w:rsidRPr="009E5D7E" w:rsidRDefault="009E5D7E" w:rsidP="009E5D7E">
      <w:pPr>
        <w:numPr>
          <w:ilvl w:val="0"/>
          <w:numId w:val="8"/>
        </w:numPr>
        <w:shd w:val="clear" w:color="auto" w:fill="FFFFFF"/>
        <w:spacing w:after="0" w:line="240" w:lineRule="auto"/>
        <w:ind w:left="600"/>
        <w:rPr>
          <w:rFonts w:ascii="Times New Roman" w:eastAsia="Times New Roman" w:hAnsi="Times New Roman" w:cs="Times New Roman"/>
          <w:color w:val="606D78"/>
          <w:sz w:val="24"/>
          <w:szCs w:val="24"/>
        </w:rPr>
      </w:pPr>
      <w:hyperlink r:id="rId9" w:tgtFrame="_blank" w:history="1">
        <w:r w:rsidRPr="009E5D7E">
          <w:rPr>
            <w:rFonts w:ascii="Times New Roman" w:eastAsia="Times New Roman" w:hAnsi="Times New Roman" w:cs="Times New Roman"/>
            <w:b/>
            <w:bCs/>
            <w:color w:val="294B93"/>
            <w:sz w:val="24"/>
            <w:szCs w:val="24"/>
            <w:u w:val="single"/>
          </w:rPr>
          <w:t>SNF Quality Public Reporting</w:t>
        </w:r>
      </w:hyperlink>
      <w:r w:rsidRPr="009E5D7E">
        <w:rPr>
          <w:rFonts w:ascii="Times New Roman" w:eastAsia="Times New Roman" w:hAnsi="Times New Roman" w:cs="Times New Roman"/>
          <w:color w:val="606D78"/>
          <w:sz w:val="24"/>
          <w:szCs w:val="24"/>
        </w:rPr>
        <w:t xml:space="preserve"> webpage, </w:t>
      </w:r>
      <w:hyperlink r:id="rId10" w:tgtFrame="_blank" w:history="1">
        <w:r w:rsidRPr="009E5D7E">
          <w:rPr>
            <w:rFonts w:ascii="Times New Roman" w:eastAsia="Times New Roman" w:hAnsi="Times New Roman" w:cs="Times New Roman"/>
            <w:b/>
            <w:bCs/>
            <w:color w:val="294B93"/>
            <w:sz w:val="24"/>
            <w:szCs w:val="24"/>
            <w:u w:val="single"/>
          </w:rPr>
          <w:t>NHC Compare</w:t>
        </w:r>
      </w:hyperlink>
      <w:r w:rsidRPr="009E5D7E">
        <w:rPr>
          <w:rFonts w:ascii="Times New Roman" w:eastAsia="Times New Roman" w:hAnsi="Times New Roman" w:cs="Times New Roman"/>
          <w:color w:val="606D78"/>
          <w:sz w:val="24"/>
          <w:szCs w:val="24"/>
        </w:rPr>
        <w:t xml:space="preserve"> and </w:t>
      </w:r>
      <w:hyperlink r:id="rId11" w:tgtFrame="_blank" w:history="1">
        <w:r w:rsidRPr="009E5D7E">
          <w:rPr>
            <w:rFonts w:ascii="Times New Roman" w:eastAsia="Times New Roman" w:hAnsi="Times New Roman" w:cs="Times New Roman"/>
            <w:b/>
            <w:bCs/>
            <w:color w:val="294B93"/>
            <w:sz w:val="24"/>
            <w:szCs w:val="24"/>
            <w:u w:val="single"/>
          </w:rPr>
          <w:t>Preview Report Access Instructions </w:t>
        </w:r>
      </w:hyperlink>
    </w:p>
    <w:p w14:paraId="15AF0FBE" w14:textId="1DB831DB" w:rsidR="00ED297F" w:rsidRDefault="009E5D7E" w:rsidP="009E5D7E">
      <w:pPr>
        <w:shd w:val="clear" w:color="auto" w:fill="FFFFFF"/>
        <w:spacing w:after="0" w:line="240" w:lineRule="auto"/>
      </w:pPr>
      <w:bookmarkStart w:id="0" w:name="_GoBack"/>
      <w:bookmarkEnd w:id="0"/>
    </w:p>
    <w:sectPr w:rsidR="00ED2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E7D26"/>
    <w:multiLevelType w:val="multilevel"/>
    <w:tmpl w:val="C854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50551"/>
    <w:multiLevelType w:val="multilevel"/>
    <w:tmpl w:val="67A0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20370"/>
    <w:multiLevelType w:val="multilevel"/>
    <w:tmpl w:val="FF8E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27CBF"/>
    <w:multiLevelType w:val="multilevel"/>
    <w:tmpl w:val="0B60C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36B08"/>
    <w:multiLevelType w:val="multilevel"/>
    <w:tmpl w:val="AD6C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40F9E"/>
    <w:multiLevelType w:val="multilevel"/>
    <w:tmpl w:val="B75E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1E1B10"/>
    <w:multiLevelType w:val="multilevel"/>
    <w:tmpl w:val="D854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23C7B"/>
    <w:multiLevelType w:val="multilevel"/>
    <w:tmpl w:val="FFD6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3F"/>
    <w:rsid w:val="002C293C"/>
    <w:rsid w:val="003A2A0A"/>
    <w:rsid w:val="0051780E"/>
    <w:rsid w:val="00867E60"/>
    <w:rsid w:val="009E5D7E"/>
    <w:rsid w:val="00B45A3F"/>
    <w:rsid w:val="00B9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392A"/>
  <w15:chartTrackingRefBased/>
  <w15:docId w15:val="{A381234C-C3DD-4992-B3D1-34E37CC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1190">
      <w:bodyDiv w:val="1"/>
      <w:marLeft w:val="0"/>
      <w:marRight w:val="0"/>
      <w:marTop w:val="0"/>
      <w:marBottom w:val="0"/>
      <w:divBdr>
        <w:top w:val="none" w:sz="0" w:space="0" w:color="auto"/>
        <w:left w:val="none" w:sz="0" w:space="0" w:color="auto"/>
        <w:bottom w:val="none" w:sz="0" w:space="0" w:color="auto"/>
        <w:right w:val="none" w:sz="0" w:space="0" w:color="auto"/>
      </w:divBdr>
    </w:div>
    <w:div w:id="21068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Medicare/Quality-Initiatives-Patient-Assessment-Instruments/NursingHomeQualityInits/Downloads/SNF-Provider-Preview-Report-Access-Instructions-Final.pdf" TargetMode="External"/><Relationship Id="rId5" Type="http://schemas.openxmlformats.org/officeDocument/2006/relationships/styles" Target="styles.xml"/><Relationship Id="rId10" Type="http://schemas.openxmlformats.org/officeDocument/2006/relationships/hyperlink" Target="https://www.medicare.gov/nursinghomecompare/search.html?" TargetMode="External"/><Relationship Id="rId4" Type="http://schemas.openxmlformats.org/officeDocument/2006/relationships/numbering" Target="numbering.xml"/><Relationship Id="rId9" Type="http://schemas.openxmlformats.org/officeDocument/2006/relationships/hyperlink" Target="https://www.cms.gov/Medicare/Quality-Initiatives-Patient-Assessment-Instruments/NursingHomeQualityInits/Skilled-Nursing-Facility-Quality-Reporting-Program/SNF-Quality-Reporting-Program-Measures-and-Technical-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F1EF10F137D4AA017D1E9A7C4BD21" ma:contentTypeVersion="8" ma:contentTypeDescription="Create a new document." ma:contentTypeScope="" ma:versionID="49a7d3c0d5d60171245094b74972fe30">
  <xsd:schema xmlns:xsd="http://www.w3.org/2001/XMLSchema" xmlns:xs="http://www.w3.org/2001/XMLSchema" xmlns:p="http://schemas.microsoft.com/office/2006/metadata/properties" xmlns:ns2="7f16fa1e-cf0d-431b-9b94-9b0e42823f86" xmlns:ns3="ee847b6b-bba9-44cd-89e3-aeaa59b39e2a" targetNamespace="http://schemas.microsoft.com/office/2006/metadata/properties" ma:root="true" ma:fieldsID="1e61c37ced29eeb15938a266b02efde1" ns2:_="" ns3:_="">
    <xsd:import namespace="7f16fa1e-cf0d-431b-9b94-9b0e42823f86"/>
    <xsd:import namespace="ee847b6b-bba9-44cd-89e3-aeaa59b39e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6fa1e-cf0d-431b-9b94-9b0e42823f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47b6b-bba9-44cd-89e3-aeaa59b39e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AC1DC-60CD-4C12-8F2B-2F6419728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6fa1e-cf0d-431b-9b94-9b0e42823f86"/>
    <ds:schemaRef ds:uri="ee847b6b-bba9-44cd-89e3-aeaa59b39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6396E-A9BA-4FA0-A3CD-7EFF1A999B2D}">
  <ds:schemaRefs>
    <ds:schemaRef ds:uri="http://schemas.microsoft.com/sharepoint/v3/contenttype/forms"/>
  </ds:schemaRefs>
</ds:datastoreItem>
</file>

<file path=customXml/itemProps3.xml><?xml version="1.0" encoding="utf-8"?>
<ds:datastoreItem xmlns:ds="http://schemas.openxmlformats.org/officeDocument/2006/customXml" ds:itemID="{BEA2C05A-B5E0-49FF-A246-A13A94278E60}">
  <ds:schemaRefs>
    <ds:schemaRef ds:uri="http://purl.org/dc/elements/1.1/"/>
    <ds:schemaRef ds:uri="http://schemas.microsoft.com/office/2006/metadata/properties"/>
    <ds:schemaRef ds:uri="http://purl.org/dc/terms/"/>
    <ds:schemaRef ds:uri="http://schemas.openxmlformats.org/package/2006/metadata/core-properties"/>
    <ds:schemaRef ds:uri="ee847b6b-bba9-44cd-89e3-aeaa59b39e2a"/>
    <ds:schemaRef ds:uri="http://schemas.microsoft.com/office/2006/documentManagement/types"/>
    <ds:schemaRef ds:uri="http://schemas.microsoft.com/office/infopath/2007/PartnerControls"/>
    <ds:schemaRef ds:uri="7f16fa1e-cf0d-431b-9b94-9b0e42823f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Rampmaier</dc:creator>
  <cp:keywords/>
  <dc:description/>
  <cp:lastModifiedBy>Emily Rampmaier</cp:lastModifiedBy>
  <cp:revision>2</cp:revision>
  <dcterms:created xsi:type="dcterms:W3CDTF">2018-06-29T14:32:00Z</dcterms:created>
  <dcterms:modified xsi:type="dcterms:W3CDTF">2018-06-29T14:32:00Z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0x010100952F1EF10F137D4AA017D1E9A7C4BD21</vt:lpwstr>
  </property>
</Properties>
</file>